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68" w:rsidRDefault="00503E68" w:rsidP="00503E68">
      <w:pPr>
        <w:pStyle w:val="NormaleWeb"/>
        <w:jc w:val="both"/>
      </w:pPr>
      <w:r>
        <w:t>La scheda proposta, che va personalizzata e graduata per tipologia di scuola e di classe, costituisce una traccia di lavoro che il Coordinatore dell’Educazione Civica potrà proporre ai Colleghi e ciascun docente operativamente e con saggia creatività pedagogica, potrà usare in classe con i propri studenti.</w:t>
      </w:r>
    </w:p>
    <w:p w:rsidR="00503E68" w:rsidRPr="00313174" w:rsidRDefault="00503E68" w:rsidP="00503E68">
      <w:pPr>
        <w:pStyle w:val="NormaleWeb"/>
        <w:jc w:val="center"/>
        <w:rPr>
          <w:rFonts w:ascii="Arial Black" w:hAnsi="Arial Black"/>
          <w:b/>
        </w:rPr>
      </w:pPr>
      <w:r w:rsidRPr="00313174">
        <w:rPr>
          <w:rFonts w:ascii="Arial Black" w:hAnsi="Arial Black"/>
          <w:b/>
          <w:sz w:val="36"/>
          <w:szCs w:val="36"/>
        </w:rPr>
        <w:t>P</w:t>
      </w:r>
      <w:r w:rsidRPr="00313174">
        <w:rPr>
          <w:rFonts w:ascii="Arial Black" w:hAnsi="Arial Black"/>
          <w:b/>
        </w:rPr>
        <w:t xml:space="preserve">ORTFOLIO DELLE </w:t>
      </w:r>
      <w:r w:rsidRPr="00313174">
        <w:rPr>
          <w:rFonts w:ascii="Arial Black" w:hAnsi="Arial Black"/>
          <w:b/>
          <w:sz w:val="40"/>
          <w:szCs w:val="40"/>
        </w:rPr>
        <w:t>C</w:t>
      </w:r>
      <w:r w:rsidRPr="00313174">
        <w:rPr>
          <w:rFonts w:ascii="Arial Black" w:hAnsi="Arial Black"/>
          <w:b/>
        </w:rPr>
        <w:t xml:space="preserve">OMPETENZE DI </w:t>
      </w:r>
      <w:r w:rsidRPr="00313174">
        <w:rPr>
          <w:rFonts w:ascii="Arial Black" w:hAnsi="Arial Black"/>
          <w:b/>
          <w:sz w:val="40"/>
          <w:szCs w:val="40"/>
        </w:rPr>
        <w:t>C</w:t>
      </w:r>
      <w:r w:rsidRPr="00313174">
        <w:rPr>
          <w:rFonts w:ascii="Arial Black" w:hAnsi="Arial Black"/>
          <w:b/>
        </w:rPr>
        <w:t>ITTADINANZA</w:t>
      </w:r>
    </w:p>
    <w:p w:rsidR="00503E68" w:rsidRDefault="00503E68" w:rsidP="00503E68">
      <w:pPr>
        <w:pStyle w:val="NormaleWeb"/>
        <w:jc w:val="center"/>
      </w:pPr>
      <w:r>
        <w:t>Dell’alunn______________________________________________classe_________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1"/>
        <w:gridCol w:w="2793"/>
        <w:gridCol w:w="1034"/>
        <w:gridCol w:w="650"/>
        <w:gridCol w:w="3100"/>
      </w:tblGrid>
      <w:tr w:rsidR="00503E68" w:rsidRPr="001B298C" w:rsidTr="009F29B7">
        <w:tc>
          <w:tcPr>
            <w:tcW w:w="2093" w:type="dxa"/>
          </w:tcPr>
          <w:p w:rsidR="00503E68" w:rsidRPr="001B298C" w:rsidRDefault="00503E68" w:rsidP="009F29B7">
            <w:pPr>
              <w:pStyle w:val="NormaleWeb"/>
              <w:jc w:val="both"/>
              <w:rPr>
                <w:b/>
              </w:rPr>
            </w:pPr>
            <w:r w:rsidRPr="001B298C">
              <w:rPr>
                <w:b/>
              </w:rPr>
              <w:t xml:space="preserve">Attività </w:t>
            </w:r>
          </w:p>
        </w:tc>
        <w:tc>
          <w:tcPr>
            <w:tcW w:w="2835" w:type="dxa"/>
          </w:tcPr>
          <w:p w:rsidR="00503E68" w:rsidRPr="001B298C" w:rsidRDefault="00503E68" w:rsidP="009F29B7">
            <w:pPr>
              <w:pStyle w:val="NormaleWeb"/>
              <w:jc w:val="both"/>
              <w:rPr>
                <w:b/>
              </w:rPr>
            </w:pPr>
            <w:r w:rsidRPr="001B298C">
              <w:rPr>
                <w:b/>
              </w:rPr>
              <w:t xml:space="preserve">  Ambito</w:t>
            </w:r>
          </w:p>
        </w:tc>
        <w:tc>
          <w:tcPr>
            <w:tcW w:w="1047" w:type="dxa"/>
          </w:tcPr>
          <w:p w:rsidR="00503E68" w:rsidRPr="001B298C" w:rsidRDefault="00503E68" w:rsidP="009F29B7">
            <w:pPr>
              <w:pStyle w:val="NormaleWeb"/>
              <w:jc w:val="both"/>
              <w:rPr>
                <w:b/>
              </w:rPr>
            </w:pPr>
            <w:r w:rsidRPr="001B298C">
              <w:rPr>
                <w:b/>
              </w:rPr>
              <w:t xml:space="preserve">Data </w:t>
            </w:r>
          </w:p>
        </w:tc>
        <w:tc>
          <w:tcPr>
            <w:tcW w:w="654" w:type="dxa"/>
          </w:tcPr>
          <w:p w:rsidR="00503E68" w:rsidRPr="001B298C" w:rsidRDefault="00503E68" w:rsidP="009F29B7">
            <w:pPr>
              <w:pStyle w:val="NormaleWeb"/>
              <w:jc w:val="both"/>
              <w:rPr>
                <w:b/>
              </w:rPr>
            </w:pPr>
            <w:proofErr w:type="gramStart"/>
            <w:r>
              <w:rPr>
                <w:b/>
              </w:rPr>
              <w:t>ore</w:t>
            </w:r>
            <w:proofErr w:type="gramEnd"/>
          </w:p>
        </w:tc>
        <w:tc>
          <w:tcPr>
            <w:tcW w:w="3149" w:type="dxa"/>
          </w:tcPr>
          <w:p w:rsidR="00503E68" w:rsidRPr="001B298C" w:rsidRDefault="00503E68" w:rsidP="009F29B7">
            <w:pPr>
              <w:pStyle w:val="NormaleWeb"/>
              <w:jc w:val="both"/>
              <w:rPr>
                <w:b/>
              </w:rPr>
            </w:pPr>
            <w:r w:rsidRPr="001B298C">
              <w:rPr>
                <w:b/>
              </w:rPr>
              <w:t xml:space="preserve">Autovalutazione </w:t>
            </w:r>
          </w:p>
        </w:tc>
      </w:tr>
      <w:tr w:rsidR="00503E68" w:rsidTr="009F29B7">
        <w:tc>
          <w:tcPr>
            <w:tcW w:w="2093" w:type="dxa"/>
          </w:tcPr>
          <w:p w:rsidR="00503E68" w:rsidRDefault="00503E68" w:rsidP="009F29B7">
            <w:pPr>
              <w:pStyle w:val="Nessunaspaziatura"/>
            </w:pPr>
          </w:p>
        </w:tc>
        <w:tc>
          <w:tcPr>
            <w:tcW w:w="2835" w:type="dxa"/>
          </w:tcPr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Costituzione</w:t>
            </w:r>
          </w:p>
          <w:p w:rsidR="00503E68" w:rsidRPr="00154774" w:rsidRDefault="00503E68" w:rsidP="009F29B7">
            <w:pPr>
              <w:pStyle w:val="Nessunaspaziatura"/>
              <w:rPr>
                <w:sz w:val="20"/>
                <w:szCs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154774">
              <w:rPr>
                <w:sz w:val="20"/>
                <w:szCs w:val="20"/>
              </w:rPr>
              <w:t>Ordinamento dello Stato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Dimensione Europea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Agenda 2030 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Cittadinanza digitale 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Norme di galateo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alla</w:t>
            </w:r>
            <w:proofErr w:type="gramEnd"/>
            <w:r>
              <w:t xml:space="preserve"> legalità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alla</w:t>
            </w:r>
            <w:proofErr w:type="gramEnd"/>
            <w:r>
              <w:t xml:space="preserve"> salute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</w:t>
            </w:r>
            <w:proofErr w:type="gramEnd"/>
            <w:r>
              <w:t xml:space="preserve"> benessere 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alimentare</w:t>
            </w:r>
            <w:proofErr w:type="gramEnd"/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ambientale</w:t>
            </w:r>
            <w:proofErr w:type="gramEnd"/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stradale</w:t>
            </w:r>
            <w:proofErr w:type="gramEnd"/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alla</w:t>
            </w:r>
            <w:proofErr w:type="gramEnd"/>
            <w:r>
              <w:t xml:space="preserve"> protezione civile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ai</w:t>
            </w:r>
            <w:proofErr w:type="gramEnd"/>
            <w:r>
              <w:t xml:space="preserve"> Beni culturali 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finanziaria</w:t>
            </w:r>
            <w:proofErr w:type="gramEnd"/>
            <w:r>
              <w:t xml:space="preserve"> 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Ed alla cultura di genere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alle</w:t>
            </w:r>
            <w:proofErr w:type="gramEnd"/>
            <w:r>
              <w:t xml:space="preserve"> pari opportunità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all’affettività</w:t>
            </w:r>
            <w:proofErr w:type="gramEnd"/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</w:t>
            </w:r>
            <w:proofErr w:type="gramEnd"/>
            <w:r>
              <w:t xml:space="preserve"> rispetto (bullismo)</w:t>
            </w:r>
          </w:p>
          <w:p w:rsidR="00503E68" w:rsidRPr="00CE643D" w:rsidRDefault="00503E68" w:rsidP="009F29B7">
            <w:pPr>
              <w:pStyle w:val="Nessunaspaziatura"/>
              <w:rPr>
                <w:sz w:val="18"/>
                <w:szCs w:val="18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CE643D">
              <w:rPr>
                <w:sz w:val="18"/>
                <w:szCs w:val="18"/>
              </w:rPr>
              <w:t xml:space="preserve">Ed. </w:t>
            </w:r>
            <w:proofErr w:type="gramStart"/>
            <w:r w:rsidRPr="00CE643D">
              <w:rPr>
                <w:sz w:val="18"/>
                <w:szCs w:val="18"/>
              </w:rPr>
              <w:t>al</w:t>
            </w:r>
            <w:proofErr w:type="gramEnd"/>
            <w:r w:rsidRPr="00CE643D">
              <w:rPr>
                <w:sz w:val="18"/>
                <w:szCs w:val="18"/>
              </w:rPr>
              <w:t xml:space="preserve"> rispetto degli animali 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t xml:space="preserve">    Ed. </w:t>
            </w:r>
            <w:proofErr w:type="gramStart"/>
            <w:r>
              <w:t>alla</w:t>
            </w:r>
            <w:proofErr w:type="gramEnd"/>
            <w:r>
              <w:t xml:space="preserve"> solidarietà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all’accoglienza</w:t>
            </w:r>
            <w:proofErr w:type="gramEnd"/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</w:t>
            </w:r>
            <w:proofErr w:type="gramEnd"/>
            <w:r>
              <w:t xml:space="preserve"> dialogo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</w:t>
            </w:r>
            <w:proofErr w:type="gramEnd"/>
            <w:r>
              <w:t xml:space="preserve"> dono</w:t>
            </w:r>
          </w:p>
          <w:p w:rsidR="00503E68" w:rsidRDefault="00503E68" w:rsidP="009F29B7">
            <w:pPr>
              <w:pStyle w:val="Nessunaspaziatura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Ed. </w:t>
            </w:r>
            <w:proofErr w:type="gramStart"/>
            <w:r>
              <w:t>al</w:t>
            </w:r>
            <w:proofErr w:type="gramEnd"/>
            <w:r>
              <w:t xml:space="preserve"> volontariato </w:t>
            </w:r>
          </w:p>
          <w:p w:rsidR="00503E68" w:rsidRDefault="00503E68" w:rsidP="009F29B7">
            <w:pPr>
              <w:pStyle w:val="Nessunaspaziatura"/>
            </w:pPr>
          </w:p>
          <w:p w:rsidR="00503E68" w:rsidRDefault="00503E68" w:rsidP="009F29B7">
            <w:pPr>
              <w:pStyle w:val="Nessunaspaziatura"/>
            </w:pPr>
          </w:p>
        </w:tc>
        <w:tc>
          <w:tcPr>
            <w:tcW w:w="1047" w:type="dxa"/>
          </w:tcPr>
          <w:p w:rsidR="00503E68" w:rsidRDefault="00503E68" w:rsidP="009F29B7">
            <w:pPr>
              <w:pStyle w:val="Nessunaspaziatura"/>
            </w:pPr>
          </w:p>
        </w:tc>
        <w:tc>
          <w:tcPr>
            <w:tcW w:w="654" w:type="dxa"/>
          </w:tcPr>
          <w:p w:rsidR="00503E68" w:rsidRDefault="00503E68" w:rsidP="009F29B7">
            <w:pPr>
              <w:pStyle w:val="Nessunaspaziatura"/>
            </w:pPr>
          </w:p>
        </w:tc>
        <w:tc>
          <w:tcPr>
            <w:tcW w:w="3149" w:type="dxa"/>
          </w:tcPr>
          <w:p w:rsidR="00503E68" w:rsidRDefault="00503E68" w:rsidP="009F29B7">
            <w:pPr>
              <w:pStyle w:val="Nessunaspaziatura"/>
            </w:pPr>
            <w:r>
              <w:t>Oggi ho capito che….</w:t>
            </w:r>
          </w:p>
          <w:p w:rsidR="00503E68" w:rsidRDefault="00503E68" w:rsidP="009F29B7">
            <w:pPr>
              <w:pStyle w:val="Nessunaspaziatura"/>
            </w:pPr>
            <w:r>
              <w:t xml:space="preserve">Ho imparato…… </w:t>
            </w:r>
          </w:p>
          <w:p w:rsidR="00503E68" w:rsidRDefault="00503E68" w:rsidP="009F29B7">
            <w:pPr>
              <w:pStyle w:val="Nessunaspaziatura"/>
            </w:pPr>
            <w:r>
              <w:t>Sono convinto di…</w:t>
            </w:r>
          </w:p>
          <w:p w:rsidR="00503E68" w:rsidRDefault="00503E68" w:rsidP="009F29B7">
            <w:pPr>
              <w:pStyle w:val="Nessunaspaziatura"/>
            </w:pPr>
            <w:r>
              <w:t>M’impegno ad agire secondo…</w:t>
            </w:r>
          </w:p>
        </w:tc>
      </w:tr>
      <w:tr w:rsidR="00503E68" w:rsidTr="009F29B7">
        <w:tc>
          <w:tcPr>
            <w:tcW w:w="2093" w:type="dxa"/>
          </w:tcPr>
          <w:p w:rsidR="00503E68" w:rsidRDefault="00503E68" w:rsidP="009F29B7">
            <w:pPr>
              <w:pStyle w:val="NormaleWeb"/>
              <w:jc w:val="both"/>
            </w:pPr>
          </w:p>
          <w:p w:rsidR="00503E68" w:rsidRDefault="00503E68" w:rsidP="009F29B7">
            <w:pPr>
              <w:pStyle w:val="NormaleWeb"/>
              <w:jc w:val="both"/>
            </w:pPr>
          </w:p>
        </w:tc>
        <w:tc>
          <w:tcPr>
            <w:tcW w:w="2835" w:type="dxa"/>
          </w:tcPr>
          <w:p w:rsidR="00503E68" w:rsidRDefault="00503E68" w:rsidP="009F29B7">
            <w:pPr>
              <w:pStyle w:val="NormaleWeb"/>
              <w:jc w:val="both"/>
            </w:pPr>
          </w:p>
        </w:tc>
        <w:tc>
          <w:tcPr>
            <w:tcW w:w="1047" w:type="dxa"/>
          </w:tcPr>
          <w:p w:rsidR="00503E68" w:rsidRDefault="00503E68" w:rsidP="009F29B7">
            <w:pPr>
              <w:pStyle w:val="NormaleWeb"/>
              <w:jc w:val="both"/>
            </w:pPr>
          </w:p>
        </w:tc>
        <w:tc>
          <w:tcPr>
            <w:tcW w:w="654" w:type="dxa"/>
          </w:tcPr>
          <w:p w:rsidR="00503E68" w:rsidRDefault="00503E68" w:rsidP="009F29B7">
            <w:pPr>
              <w:pStyle w:val="NormaleWeb"/>
              <w:jc w:val="both"/>
            </w:pPr>
          </w:p>
        </w:tc>
        <w:tc>
          <w:tcPr>
            <w:tcW w:w="3149" w:type="dxa"/>
          </w:tcPr>
          <w:p w:rsidR="00503E68" w:rsidRDefault="00503E68" w:rsidP="009F29B7">
            <w:pPr>
              <w:pStyle w:val="NormaleWeb"/>
              <w:jc w:val="both"/>
            </w:pPr>
          </w:p>
        </w:tc>
      </w:tr>
    </w:tbl>
    <w:p w:rsidR="00503E68" w:rsidRDefault="00503E68" w:rsidP="00503E68">
      <w:pPr>
        <w:pStyle w:val="NormaleWeb"/>
        <w:jc w:val="both"/>
      </w:pPr>
      <w:r>
        <w:t xml:space="preserve">Le voci indicate nella colonna “ambito” potranno essere ulteriormente scalettati con altre voci specifiche secondo la tipologia di classe e di contesto , mentre la colonna delle ore dedicate alle specifiche attività consentirà di verificare che si va ben oltre le 33 ore richieste,  se si documentano i contributi formativi della scuola e le </w:t>
      </w:r>
      <w:r w:rsidRPr="00690A86">
        <w:rPr>
          <w:b/>
        </w:rPr>
        <w:t>competenze sociali e civiche di cittadinanza</w:t>
      </w:r>
      <w:r>
        <w:t xml:space="preserve"> che ciascun alunno sviluppa e acquisisce, sono le competenze trasversali che favoriscono la maturazione del senso civico, lo spirito d’iniziativa, e la dimensione progettuale e imprenditoriale che fanno parte delle otto competenze chiave indicate dall’Unione Europea (18 dicembre 2006) e </w:t>
      </w:r>
      <w:r w:rsidRPr="00690A86">
        <w:rPr>
          <w:bCs/>
          <w:iCs/>
        </w:rPr>
        <w:t xml:space="preserve">che </w:t>
      </w:r>
      <w:r>
        <w:rPr>
          <w:b/>
          <w:bCs/>
          <w:i/>
          <w:iCs/>
        </w:rPr>
        <w:t>“</w:t>
      </w:r>
      <w:r w:rsidRPr="00690A86">
        <w:rPr>
          <w:bCs/>
          <w:i/>
          <w:iCs/>
        </w:rPr>
        <w:t>consentono alle persone di partecipare in</w:t>
      </w:r>
      <w:r w:rsidRPr="00690A86">
        <w:t xml:space="preserve"> </w:t>
      </w:r>
      <w:r w:rsidRPr="00690A86">
        <w:rPr>
          <w:bCs/>
          <w:i/>
          <w:iCs/>
        </w:rPr>
        <w:t>modo efficace e costruttivo alla vita sociale e lavorativa</w:t>
      </w:r>
      <w:r>
        <w:rPr>
          <w:b/>
          <w:bCs/>
          <w:i/>
          <w:iCs/>
        </w:rPr>
        <w:t>”.</w:t>
      </w:r>
    </w:p>
    <w:p w:rsidR="00503E68" w:rsidRDefault="00503E68" w:rsidP="00503E68">
      <w:pPr>
        <w:pStyle w:val="NormaleWeb"/>
        <w:jc w:val="both"/>
      </w:pPr>
      <w:r>
        <w:lastRenderedPageBreak/>
        <w:t xml:space="preserve">Ciascuna delle attività didattiche e formative che si ritiene possano afferire agli ambiti dell’Educazione civica, se documentata attraverso una scheda similare, renderà più agevole e puntuale la formulazione di una valutazione oggettiva e dettagliata, dando così ragione e motivazione del voto che s’intende proporre per la valutazione intermedia e finale. </w:t>
      </w:r>
      <w:bookmarkStart w:id="0" w:name="_GoBack"/>
      <w:bookmarkEnd w:id="0"/>
    </w:p>
    <w:sectPr w:rsidR="00503E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68"/>
    <w:rsid w:val="00503E68"/>
    <w:rsid w:val="005509BE"/>
    <w:rsid w:val="009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B7E1B-69F5-4898-AAE2-40DAC1BC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03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03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OLIVA</dc:creator>
  <cp:keywords/>
  <dc:description/>
  <cp:lastModifiedBy>ANDREA GIUSEPPE OLIVA</cp:lastModifiedBy>
  <cp:revision>2</cp:revision>
  <dcterms:created xsi:type="dcterms:W3CDTF">2019-10-19T10:52:00Z</dcterms:created>
  <dcterms:modified xsi:type="dcterms:W3CDTF">2019-10-19T12:38:00Z</dcterms:modified>
</cp:coreProperties>
</file>