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5D7D" w:rsidRDefault="00C95D7D" w:rsidP="00C95D7D">
      <w:pPr>
        <w:jc w:val="both"/>
        <w:rPr>
          <w:sz w:val="28"/>
          <w:szCs w:val="28"/>
        </w:rPr>
      </w:pPr>
      <w:r>
        <w:rPr>
          <w:sz w:val="28"/>
          <w:szCs w:val="28"/>
        </w:rPr>
        <w:t xml:space="preserve">                         </w:t>
      </w:r>
      <w:r w:rsidR="002F427E">
        <w:rPr>
          <w:sz w:val="28"/>
          <w:szCs w:val="28"/>
        </w:rPr>
        <w:t xml:space="preserve">     </w:t>
      </w:r>
      <w:r>
        <w:rPr>
          <w:sz w:val="28"/>
          <w:szCs w:val="28"/>
        </w:rPr>
        <w:t xml:space="preserve">CRITERI PER L’ESAME DEI RICORSI </w:t>
      </w:r>
      <w:proofErr w:type="spellStart"/>
      <w:r>
        <w:rPr>
          <w:sz w:val="28"/>
          <w:szCs w:val="28"/>
        </w:rPr>
        <w:t>DI</w:t>
      </w:r>
      <w:proofErr w:type="spellEnd"/>
      <w:r>
        <w:rPr>
          <w:sz w:val="28"/>
          <w:szCs w:val="28"/>
        </w:rPr>
        <w:t xml:space="preserve"> A043/A050</w:t>
      </w:r>
    </w:p>
    <w:p w:rsidR="00C95D7D" w:rsidRDefault="00C95D7D" w:rsidP="00C95D7D">
      <w:pPr>
        <w:jc w:val="both"/>
        <w:rPr>
          <w:sz w:val="28"/>
          <w:szCs w:val="28"/>
        </w:rPr>
      </w:pPr>
      <w:r>
        <w:rPr>
          <w:sz w:val="28"/>
          <w:szCs w:val="28"/>
        </w:rPr>
        <w:t>Premesso che il presidente coordinatore illustra alle Commissioni le varie tipologie di ricorsi presentati dai candidati, ricorsi che vertono nella quasi totalità su</w:t>
      </w:r>
      <w:r w:rsidR="00B13655">
        <w:rPr>
          <w:sz w:val="28"/>
          <w:szCs w:val="28"/>
        </w:rPr>
        <w:t xml:space="preserve"> alcuni aspetti ripetitivi, viene rilevato in</w:t>
      </w:r>
      <w:r>
        <w:rPr>
          <w:sz w:val="28"/>
          <w:szCs w:val="28"/>
        </w:rPr>
        <w:t xml:space="preserve"> particolare </w:t>
      </w:r>
      <w:r w:rsidR="00B13655">
        <w:rPr>
          <w:sz w:val="28"/>
          <w:szCs w:val="28"/>
        </w:rPr>
        <w:t xml:space="preserve">che </w:t>
      </w:r>
      <w:r>
        <w:rPr>
          <w:sz w:val="28"/>
          <w:szCs w:val="28"/>
        </w:rPr>
        <w:t xml:space="preserve">l’assegnazione del punteggio di altra abilitazione </w:t>
      </w:r>
      <w:r w:rsidR="00B13655">
        <w:rPr>
          <w:sz w:val="28"/>
          <w:szCs w:val="28"/>
        </w:rPr>
        <w:t xml:space="preserve">- </w:t>
      </w:r>
      <w:r>
        <w:rPr>
          <w:sz w:val="28"/>
          <w:szCs w:val="28"/>
        </w:rPr>
        <w:t xml:space="preserve">ai candidati in possesso di abilitazione in A51/A52 </w:t>
      </w:r>
      <w:r w:rsidR="00B13655">
        <w:rPr>
          <w:sz w:val="28"/>
          <w:szCs w:val="28"/>
        </w:rPr>
        <w:t xml:space="preserve">- </w:t>
      </w:r>
      <w:r>
        <w:rPr>
          <w:sz w:val="28"/>
          <w:szCs w:val="28"/>
        </w:rPr>
        <w:t>ha scatenato la richiesta reiterata di riconoscimento di altre abilitazioni. Infatti molti candidati sostengono la mancata assegnazione di punteggi per il possesso di abilitazione sia in A043 che in A050</w:t>
      </w:r>
      <w:r w:rsidR="00B13655">
        <w:rPr>
          <w:sz w:val="28"/>
          <w:szCs w:val="28"/>
        </w:rPr>
        <w:t>, nonché in scuola materna e primaria</w:t>
      </w:r>
      <w:r>
        <w:rPr>
          <w:sz w:val="28"/>
          <w:szCs w:val="28"/>
        </w:rPr>
        <w:t xml:space="preserve">. </w:t>
      </w:r>
    </w:p>
    <w:p w:rsidR="00C95D7D" w:rsidRDefault="00C95D7D" w:rsidP="00C95D7D">
      <w:pPr>
        <w:pStyle w:val="Paragrafoelenco"/>
        <w:numPr>
          <w:ilvl w:val="0"/>
          <w:numId w:val="1"/>
        </w:numPr>
        <w:jc w:val="both"/>
        <w:rPr>
          <w:sz w:val="28"/>
          <w:szCs w:val="28"/>
        </w:rPr>
      </w:pPr>
      <w:r>
        <w:rPr>
          <w:sz w:val="28"/>
          <w:szCs w:val="28"/>
        </w:rPr>
        <w:t>Viene subito chiarito</w:t>
      </w:r>
      <w:r w:rsidR="00B13655">
        <w:rPr>
          <w:sz w:val="28"/>
          <w:szCs w:val="28"/>
        </w:rPr>
        <w:t xml:space="preserve"> e determinato</w:t>
      </w:r>
      <w:r>
        <w:rPr>
          <w:sz w:val="28"/>
          <w:szCs w:val="28"/>
        </w:rPr>
        <w:t xml:space="preserve"> che tutti i ricorsi riguardanti il riconoscimento di una seconda abilitazione a chi possiede sia la A043 sia la A050 dovranno necessariamente essere respinti in quanto trattasi di un’unica tipologia di abilitazione non computabile due volte, una come titolo di accesso ed una seconda come altra abilitazione. Dunque questo tipo di ricorso sarà respinto. </w:t>
      </w:r>
    </w:p>
    <w:p w:rsidR="00C95D7D" w:rsidRDefault="00C95D7D" w:rsidP="00C95D7D">
      <w:pPr>
        <w:pStyle w:val="Paragrafoelenco"/>
        <w:numPr>
          <w:ilvl w:val="0"/>
          <w:numId w:val="1"/>
        </w:numPr>
        <w:jc w:val="both"/>
        <w:rPr>
          <w:sz w:val="28"/>
          <w:szCs w:val="28"/>
        </w:rPr>
      </w:pPr>
      <w:r>
        <w:rPr>
          <w:sz w:val="28"/>
          <w:szCs w:val="28"/>
        </w:rPr>
        <w:t>Saranno respinte le richieste di riconoscimento di ulteriori abilitazioni a quanti in possesso di abilitazioni in scuola materna e dell’infanzia in quanto la nota 3 della Tabella dei titoli Allegato 4 prevede espressamente che idoneità ed abilitazioni per la scuola dell’infanzia, per la scuola primaria e per gli istituti educativi non sono valutabili per le graduatorie relative alle scuole secondarie e viceversa.</w:t>
      </w:r>
    </w:p>
    <w:p w:rsidR="00C95D7D" w:rsidRPr="00C95D7D" w:rsidRDefault="00C95D7D" w:rsidP="00C95D7D">
      <w:pPr>
        <w:pStyle w:val="Paragrafoelenco"/>
        <w:numPr>
          <w:ilvl w:val="0"/>
          <w:numId w:val="1"/>
        </w:numPr>
        <w:jc w:val="both"/>
        <w:rPr>
          <w:sz w:val="28"/>
          <w:szCs w:val="28"/>
        </w:rPr>
      </w:pPr>
      <w:r w:rsidRPr="00C95D7D">
        <w:rPr>
          <w:sz w:val="28"/>
          <w:szCs w:val="28"/>
        </w:rPr>
        <w:t xml:space="preserve">In merito all’assegnazione di punteggi per altre abilitazioni a quanti hanno conseguito l’abilitazione in A051/A52, alla luce delle richieste avanzate da qualche sindacato anche a mezzo stampa, nonché da numerosi candidati, nonché alla luce di chiarimenti ed intese con l’USR di Palermo e di precedenti in altri ambiti concorsuali (tipo matematica e fisica, storia e filosofia) che fanno riferimento ai comportamenti ministeriali suggeriti per le graduatorie permanenti,  si delibera di riesaminare tutte le posizioni dei candidati ai quali erano stati assegnati punteggi e di </w:t>
      </w:r>
      <w:r w:rsidRPr="00C95D7D">
        <w:rPr>
          <w:b/>
          <w:sz w:val="28"/>
          <w:szCs w:val="28"/>
        </w:rPr>
        <w:t xml:space="preserve">NON ASSEGNARE PUNTEGGIO ALCUNO AI CANDIDATI CHE ABBIANO CONSEGUITO L’ABILITAZIONE IN A051 E A052 A CASCATA, </w:t>
      </w:r>
      <w:r w:rsidRPr="00C95D7D">
        <w:rPr>
          <w:sz w:val="28"/>
          <w:szCs w:val="28"/>
        </w:rPr>
        <w:t xml:space="preserve">ossia con uno o più esami ma sempre nel medesimo anno ed al termine del medesimo corso.  Il punteggio di altra abilitazione SSIS non a cascata sarà assegnato in A.2.2 soltanto a coloro che abbiamo conseguito l’abilitazione in latino e greco con esami distinti in diversi anni, con semestre aggiuntivo o attraverso conseguimento del titolo con altra procedura rispetto all’abilitazione in A043/A050. Infatti nelle graduatorie permanenti sono state </w:t>
      </w:r>
      <w:r w:rsidRPr="00C95D7D">
        <w:rPr>
          <w:sz w:val="28"/>
          <w:szCs w:val="28"/>
        </w:rPr>
        <w:lastRenderedPageBreak/>
        <w:t xml:space="preserve">ritenute “altre abilitazioni” solo quelle conseguite con esami e procedure diverse rispetto a quelle a cascata conseguite al termine dei corsi SSIS. Le commissioni convengono dunque di procedere alla revisione di tutte le posizioni dei candidati che abbiano ottenuto nella graduatoria provvisoria tale punteggio </w:t>
      </w:r>
    </w:p>
    <w:p w:rsidR="00C95D7D" w:rsidRDefault="00C95D7D" w:rsidP="00C95D7D">
      <w:pPr>
        <w:pStyle w:val="Paragrafoelenco"/>
        <w:numPr>
          <w:ilvl w:val="0"/>
          <w:numId w:val="1"/>
        </w:numPr>
        <w:jc w:val="both"/>
        <w:rPr>
          <w:sz w:val="28"/>
          <w:szCs w:val="28"/>
        </w:rPr>
      </w:pPr>
      <w:r>
        <w:rPr>
          <w:sz w:val="28"/>
          <w:szCs w:val="28"/>
        </w:rPr>
        <w:t>Su altre tipologie di ricorsi:</w:t>
      </w:r>
    </w:p>
    <w:p w:rsidR="00C95D7D" w:rsidRDefault="00C95D7D" w:rsidP="00C95D7D">
      <w:pPr>
        <w:pStyle w:val="Paragrafoelenco"/>
        <w:numPr>
          <w:ilvl w:val="0"/>
          <w:numId w:val="2"/>
        </w:numPr>
        <w:jc w:val="both"/>
        <w:rPr>
          <w:sz w:val="28"/>
          <w:szCs w:val="28"/>
        </w:rPr>
      </w:pPr>
      <w:r>
        <w:rPr>
          <w:sz w:val="28"/>
          <w:szCs w:val="28"/>
        </w:rPr>
        <w:t>l’ iscrizione in Albi professionali che non abbiano attinenza con le discipline di italiano, storia e geografia non può dare luogo a punteggio alcuno, come peraltro già valutato in sede di graduatoria provvisoria; pertanto i reclami ad esempio di un soggetto iscritto all’albo degli architetti  saranno non accolti</w:t>
      </w:r>
    </w:p>
    <w:p w:rsidR="00C95D7D" w:rsidRDefault="00C95D7D" w:rsidP="00C95D7D">
      <w:pPr>
        <w:pStyle w:val="Paragrafoelenco"/>
        <w:numPr>
          <w:ilvl w:val="0"/>
          <w:numId w:val="2"/>
        </w:numPr>
        <w:jc w:val="both"/>
        <w:rPr>
          <w:sz w:val="28"/>
          <w:szCs w:val="28"/>
        </w:rPr>
      </w:pPr>
      <w:r>
        <w:rPr>
          <w:sz w:val="28"/>
          <w:szCs w:val="28"/>
        </w:rPr>
        <w:t>non si considerano ulteriori titoli e laurea il diploma magistrale malgrado numerose richieste in tal senso</w:t>
      </w:r>
    </w:p>
    <w:p w:rsidR="00C95D7D" w:rsidRDefault="00C95D7D" w:rsidP="00C95D7D">
      <w:pPr>
        <w:pStyle w:val="Paragrafoelenco"/>
        <w:numPr>
          <w:ilvl w:val="0"/>
          <w:numId w:val="2"/>
        </w:numPr>
        <w:jc w:val="both"/>
        <w:rPr>
          <w:sz w:val="28"/>
          <w:szCs w:val="28"/>
        </w:rPr>
      </w:pPr>
      <w:r>
        <w:rPr>
          <w:sz w:val="28"/>
          <w:szCs w:val="28"/>
        </w:rPr>
        <w:t>non dà diritto a punteggio il possesso di ECDL e certificazione linguistica</w:t>
      </w:r>
    </w:p>
    <w:p w:rsidR="00C95D7D" w:rsidRDefault="00C95D7D" w:rsidP="00C95D7D">
      <w:pPr>
        <w:pStyle w:val="Paragrafoelenco"/>
        <w:numPr>
          <w:ilvl w:val="0"/>
          <w:numId w:val="2"/>
        </w:numPr>
        <w:jc w:val="both"/>
        <w:rPr>
          <w:sz w:val="28"/>
          <w:szCs w:val="28"/>
        </w:rPr>
      </w:pPr>
      <w:r>
        <w:rPr>
          <w:sz w:val="28"/>
          <w:szCs w:val="28"/>
        </w:rPr>
        <w:t xml:space="preserve">si ribadisce che le pubblicazioni che possono essere valutate devono attenere -come indicato nell’apposita tabella del bando - esclusivamente a contenuti disciplinari della specifica classe di concorso e pertanto possono essere valutati in A043/A050 esclusivamente pubblicazioni riguardanti italiano, storia e geografia e non anche latino, greco e altre discipline, anche se esiste una inerenza indiretta, ma le commissioni si atterranno al testo letterale del punto B.1.1 del bando. </w:t>
      </w:r>
    </w:p>
    <w:p w:rsidR="00C95D7D" w:rsidRDefault="00C95D7D" w:rsidP="00C95D7D">
      <w:pPr>
        <w:pStyle w:val="Paragrafoelenco"/>
        <w:numPr>
          <w:ilvl w:val="0"/>
          <w:numId w:val="2"/>
        </w:numPr>
        <w:jc w:val="both"/>
        <w:rPr>
          <w:sz w:val="28"/>
          <w:szCs w:val="28"/>
        </w:rPr>
      </w:pPr>
      <w:r>
        <w:rPr>
          <w:sz w:val="28"/>
          <w:szCs w:val="28"/>
        </w:rPr>
        <w:t xml:space="preserve">I Master riguardanti l’handicap non possono essere valutati due volte come molti richiedono, una volta in A.2.4 ed una volta in A.2.12. Inoltre non è possibile procedere alla valutazione solo in A.2.4 e non in A.2.12. Infatti questa ferrea regola di assegnare solo 0,25 in A.2.12 e non 1,00 in A.2.4 è stata seguita dalle commissioni siciliane di altri ambiti. </w:t>
      </w:r>
    </w:p>
    <w:p w:rsidR="00C95D7D" w:rsidRDefault="00C95D7D" w:rsidP="00C95D7D">
      <w:pPr>
        <w:pStyle w:val="Paragrafoelenco"/>
        <w:ind w:left="360"/>
        <w:jc w:val="both"/>
        <w:rPr>
          <w:sz w:val="28"/>
          <w:szCs w:val="28"/>
        </w:rPr>
      </w:pPr>
    </w:p>
    <w:p w:rsidR="00C95D7D" w:rsidRDefault="00C95D7D" w:rsidP="00C95D7D">
      <w:pPr>
        <w:pStyle w:val="Paragrafoelenco"/>
        <w:numPr>
          <w:ilvl w:val="0"/>
          <w:numId w:val="1"/>
        </w:numPr>
        <w:jc w:val="both"/>
        <w:rPr>
          <w:sz w:val="28"/>
          <w:szCs w:val="28"/>
        </w:rPr>
      </w:pPr>
      <w:r>
        <w:rPr>
          <w:sz w:val="28"/>
          <w:szCs w:val="28"/>
        </w:rPr>
        <w:t xml:space="preserve">Saranno regolarmente inseriti i punteggi omessi per errore materiale e relativi soprattutto sia a master , diplomi di perfezionamento, dottorato di ricerca, assegni di ricerca, ma sempre qualora non esista sovrapposizione di anni scolastici ed accademici. Tali titoli dovranno avere riferimento ed inerenza rispetto agli insegnamenti della classe di concorso e precisamente italiano, storia e geografia. Unica eccezione master e titoli di perfezionamento sulla lingua latina e non sulla letteratura latina in quanto il programma di italiano prevede conoscenze della lingua latina. </w:t>
      </w:r>
    </w:p>
    <w:p w:rsidR="00C95D7D" w:rsidRDefault="00C95D7D" w:rsidP="00C95D7D">
      <w:pPr>
        <w:jc w:val="both"/>
        <w:rPr>
          <w:sz w:val="28"/>
          <w:szCs w:val="28"/>
        </w:rPr>
      </w:pPr>
      <w:r>
        <w:rPr>
          <w:sz w:val="28"/>
          <w:szCs w:val="28"/>
        </w:rPr>
        <w:t xml:space="preserve">Su richiesta del presidente coordinatore si delibera che, per eliminare difficoltà di comprensione futura sull’operato della commissione, i verbali conterranno </w:t>
      </w:r>
      <w:r>
        <w:rPr>
          <w:sz w:val="28"/>
          <w:szCs w:val="28"/>
        </w:rPr>
        <w:lastRenderedPageBreak/>
        <w:t xml:space="preserve">dettagliatamente per ogni ricorso i motivi dell’accoglimento o meno della richiesta dei singoli candidati. Al riguardo viene sottolineato che la lamentela avanzata da qualche parte su giornali online e siti sindacali in relazione alla presunta mancata pubblicazione dei criteri di valutazione dei titoli non ha motivo di essere perché sin dall’inizio </w:t>
      </w:r>
      <w:r>
        <w:rPr>
          <w:b/>
          <w:sz w:val="28"/>
          <w:szCs w:val="28"/>
          <w:u w:val="single"/>
        </w:rPr>
        <w:t>la commissione non ha elaborato alcun proprio criterio ma ha ritenuto di doversi esclusivamente attenere alla lettera dell’allegato 4 che contiene dettagliatamente i criteri di assegnazione  dei titoli ai singoli candidati</w:t>
      </w:r>
      <w:r>
        <w:rPr>
          <w:sz w:val="28"/>
          <w:szCs w:val="28"/>
        </w:rPr>
        <w:t xml:space="preserve">. I dubbi e le interpretazioni sulla vasta casistica che di fatto si è presentata, alla luce della pubblicazione della graduatoria provvisoria, saranno discussi, valutati e decisi per procedere equanimemente nella revisione di eventuali errori materiali o interpretativi precedenti. </w:t>
      </w:r>
    </w:p>
    <w:p w:rsidR="00C95D7D" w:rsidRDefault="00C95D7D" w:rsidP="00C95D7D">
      <w:pPr>
        <w:jc w:val="both"/>
        <w:rPr>
          <w:sz w:val="28"/>
          <w:szCs w:val="28"/>
        </w:rPr>
      </w:pPr>
      <w:r>
        <w:rPr>
          <w:sz w:val="28"/>
          <w:szCs w:val="28"/>
        </w:rPr>
        <w:t>(Sunto/stralcio dal verbale del 29 aprile 2014)</w:t>
      </w:r>
    </w:p>
    <w:p w:rsidR="00B40E64" w:rsidRDefault="00B40E64"/>
    <w:sectPr w:rsidR="00B40E64" w:rsidSect="00B40E6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C4152"/>
    <w:multiLevelType w:val="hybridMultilevel"/>
    <w:tmpl w:val="645CA92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
    <w:nsid w:val="5628785D"/>
    <w:multiLevelType w:val="multilevel"/>
    <w:tmpl w:val="ACD27FE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defaultTabStop w:val="708"/>
  <w:hyphenationZone w:val="283"/>
  <w:characterSpacingControl w:val="doNotCompress"/>
  <w:compat/>
  <w:rsids>
    <w:rsidRoot w:val="00C95D7D"/>
    <w:rsid w:val="0003614B"/>
    <w:rsid w:val="000E2226"/>
    <w:rsid w:val="002F427E"/>
    <w:rsid w:val="003D6A1E"/>
    <w:rsid w:val="00B13655"/>
    <w:rsid w:val="00B40E64"/>
    <w:rsid w:val="00C95D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95D7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95D7D"/>
    <w:pPr>
      <w:ind w:left="720"/>
      <w:contextualSpacing/>
    </w:pPr>
  </w:style>
</w:styles>
</file>

<file path=word/webSettings.xml><?xml version="1.0" encoding="utf-8"?>
<w:webSettings xmlns:r="http://schemas.openxmlformats.org/officeDocument/2006/relationships" xmlns:w="http://schemas.openxmlformats.org/wordprocessingml/2006/main">
  <w:divs>
    <w:div w:id="63911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885</Words>
  <Characters>5046</Characters>
  <Application>Microsoft Office Word</Application>
  <DocSecurity>0</DocSecurity>
  <Lines>42</Lines>
  <Paragraphs>11</Paragraphs>
  <ScaleCrop>false</ScaleCrop>
  <Company/>
  <LinksUpToDate>false</LinksUpToDate>
  <CharactersWithSpaces>5920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5</cp:revision>
  <dcterms:created xsi:type="dcterms:W3CDTF">2014-06-05T06:55:00Z</dcterms:created>
  <dcterms:modified xsi:type="dcterms:W3CDTF">2014-06-05T07:07:00Z</dcterms:modified>
</cp:coreProperties>
</file>