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91" w:rsidRDefault="00A76B91" w:rsidP="00CA3FF3">
      <w:pPr>
        <w:pStyle w:val="BodyTable"/>
        <w:spacing w:before="0" w:line="360" w:lineRule="auto"/>
        <w:ind w:right="3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Ministero dell’Economia e delle Finanze</w:t>
      </w:r>
    </w:p>
    <w:p w:rsidR="00A76B91" w:rsidRDefault="00A76B91" w:rsidP="009C652C">
      <w:pPr>
        <w:pStyle w:val="BodyText"/>
        <w:spacing w:line="360" w:lineRule="auto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 xml:space="preserve">DIPARTIMENTO DELL’AMMINISTRAZIONE GENERALE, DEL PERSONALE E DEI SERVIZI </w:t>
      </w:r>
    </w:p>
    <w:p w:rsidR="00A76B91" w:rsidRDefault="00A76B91" w:rsidP="009C652C">
      <w:pPr>
        <w:spacing w:line="360" w:lineRule="auto"/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DIREZIONE CENTRALE DEI SISTEMI INFORMATIVI E DELL’INNOVAZIONE</w:t>
      </w:r>
    </w:p>
    <w:p w:rsidR="00A76B91" w:rsidRDefault="00A76B91" w:rsidP="009C652C">
      <w:pPr>
        <w:spacing w:line="360" w:lineRule="auto"/>
        <w:jc w:val="center"/>
        <w:rPr>
          <w:rFonts w:ascii="Arial Narrow" w:hAnsi="Arial Narrow" w:cs="Arial Narrow"/>
          <w:sz w:val="16"/>
          <w:szCs w:val="16"/>
        </w:rPr>
      </w:pPr>
      <w:r w:rsidRPr="003A714A">
        <w:rPr>
          <w:rFonts w:ascii="Arial Narrow" w:hAnsi="Arial Narrow" w:cs="Arial Narrow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NoiPA" style="width:132pt;height:48pt;visibility:visible">
            <v:imagedata r:id="rId7" o:title=""/>
          </v:shape>
        </w:pict>
      </w:r>
    </w:p>
    <w:p w:rsidR="00A76B91" w:rsidRDefault="00A76B91" w:rsidP="009C652C">
      <w:pPr>
        <w:spacing w:line="360" w:lineRule="auto"/>
        <w:jc w:val="center"/>
        <w:rPr>
          <w:rFonts w:ascii="Arial Narrow" w:hAnsi="Arial Narrow" w:cs="Arial Narrow"/>
          <w:sz w:val="16"/>
          <w:szCs w:val="16"/>
        </w:rPr>
      </w:pPr>
    </w:p>
    <w:p w:rsidR="00A76B91" w:rsidRDefault="00A76B91" w:rsidP="009C652C">
      <w:pPr>
        <w:spacing w:line="360" w:lineRule="auto"/>
        <w:jc w:val="center"/>
        <w:rPr>
          <w:rFonts w:ascii="Arial Narrow" w:hAnsi="Arial Narrow" w:cs="Arial Narrow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69"/>
        <w:gridCol w:w="4119"/>
      </w:tblGrid>
      <w:tr w:rsidR="00A76B91">
        <w:tc>
          <w:tcPr>
            <w:tcW w:w="1269" w:type="dxa"/>
            <w:tcBorders>
              <w:top w:val="double" w:sz="4" w:space="0" w:color="000080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19" w:type="dxa"/>
            <w:tcBorders>
              <w:top w:val="double" w:sz="4" w:space="0" w:color="000080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Pr="00DD3C48" w:rsidRDefault="00A76B91" w:rsidP="007E23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Roma,  12 febbraio 2014</w:t>
            </w:r>
          </w:p>
        </w:tc>
      </w:tr>
      <w:tr w:rsidR="00A76B91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Messaggio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 w:rsidP="005604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014/2014</w:t>
            </w:r>
          </w:p>
        </w:tc>
      </w:tr>
      <w:tr w:rsidR="00A76B91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Destinatari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Utenti NoiPA</w:t>
            </w:r>
            <w:bookmarkStart w:id="0" w:name="_GoBack"/>
            <w:bookmarkEnd w:id="0"/>
          </w:p>
        </w:tc>
      </w:tr>
      <w:tr w:rsidR="00A76B91">
        <w:tc>
          <w:tcPr>
            <w:tcW w:w="1269" w:type="dxa"/>
            <w:tcBorders>
              <w:top w:val="nil"/>
              <w:left w:val="doub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Messaggio</w:t>
            </w:r>
          </w:p>
        </w:tc>
      </w:tr>
      <w:tr w:rsidR="00A76B91">
        <w:tc>
          <w:tcPr>
            <w:tcW w:w="1269" w:type="dxa"/>
            <w:tcBorders>
              <w:top w:val="nil"/>
              <w:left w:val="double" w:sz="4" w:space="0" w:color="000080"/>
              <w:bottom w:val="double" w:sz="4" w:space="0" w:color="000080"/>
              <w:right w:val="single" w:sz="8" w:space="0" w:color="000080"/>
            </w:tcBorders>
            <w:shd w:val="clear" w:color="auto" w:fill="FCC25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</w:tc>
        <w:tc>
          <w:tcPr>
            <w:tcW w:w="4119" w:type="dxa"/>
            <w:tcBorders>
              <w:top w:val="nil"/>
              <w:left w:val="nil"/>
              <w:bottom w:val="double" w:sz="4" w:space="0" w:color="000080"/>
              <w:right w:val="doub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B91" w:rsidRDefault="00A76B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NoiPA</w:t>
            </w:r>
          </w:p>
        </w:tc>
      </w:tr>
    </w:tbl>
    <w:p w:rsidR="00A76B91" w:rsidRDefault="00A76B91" w:rsidP="001A4AFD">
      <w:pPr>
        <w:ind w:left="6804" w:right="425" w:hanging="2126"/>
        <w:jc w:val="right"/>
        <w:rPr>
          <w:i/>
          <w:iCs/>
          <w:u w:val="single"/>
        </w:rPr>
      </w:pPr>
    </w:p>
    <w:p w:rsidR="00A76B91" w:rsidRDefault="00A76B91" w:rsidP="001A4AFD">
      <w:pPr>
        <w:rPr>
          <w:sz w:val="24"/>
          <w:szCs w:val="24"/>
        </w:rPr>
      </w:pPr>
    </w:p>
    <w:p w:rsidR="00A76B91" w:rsidRDefault="00A76B91" w:rsidP="001A4AFD">
      <w:pPr>
        <w:rPr>
          <w:sz w:val="24"/>
          <w:szCs w:val="24"/>
        </w:rPr>
      </w:pPr>
    </w:p>
    <w:p w:rsidR="00A76B91" w:rsidRPr="0056043D" w:rsidRDefault="00A76B91" w:rsidP="0056043D">
      <w:pPr>
        <w:rPr>
          <w:sz w:val="24"/>
          <w:szCs w:val="24"/>
          <w:u w:val="single"/>
        </w:rPr>
      </w:pPr>
      <w:r w:rsidRPr="0056043D">
        <w:rPr>
          <w:sz w:val="24"/>
          <w:szCs w:val="24"/>
        </w:rPr>
        <w:t xml:space="preserve">Oggetto:  </w:t>
      </w:r>
      <w:r w:rsidRPr="0056043D">
        <w:rPr>
          <w:sz w:val="24"/>
          <w:szCs w:val="24"/>
          <w:u w:val="single"/>
        </w:rPr>
        <w:t>Gestione Separata INPS</w:t>
      </w:r>
    </w:p>
    <w:p w:rsidR="00A76B91" w:rsidRPr="0056043D" w:rsidRDefault="00A76B91" w:rsidP="0056043D">
      <w:pPr>
        <w:rPr>
          <w:sz w:val="24"/>
          <w:szCs w:val="24"/>
          <w:u w:val="single"/>
        </w:rPr>
      </w:pPr>
    </w:p>
    <w:p w:rsidR="00A76B91" w:rsidRPr="0056043D" w:rsidRDefault="00A76B91" w:rsidP="0056043D">
      <w:pPr>
        <w:rPr>
          <w:sz w:val="24"/>
          <w:szCs w:val="24"/>
          <w:u w:val="single"/>
        </w:rPr>
      </w:pPr>
    </w:p>
    <w:p w:rsidR="00A76B91" w:rsidRPr="0056043D" w:rsidRDefault="00A76B91" w:rsidP="0056043D">
      <w:pPr>
        <w:jc w:val="both"/>
        <w:rPr>
          <w:sz w:val="24"/>
          <w:szCs w:val="24"/>
        </w:rPr>
      </w:pPr>
      <w:r w:rsidRPr="0056043D">
        <w:rPr>
          <w:sz w:val="24"/>
          <w:szCs w:val="24"/>
        </w:rPr>
        <w:t>In riferimento ai messaggi 141/2013, 158/2013 e 008/2014, trasmessi dalla scrivente Direzione relativamente alle aliquote da a</w:t>
      </w:r>
      <w:r>
        <w:rPr>
          <w:sz w:val="24"/>
          <w:szCs w:val="24"/>
        </w:rPr>
        <w:t>pplicarsi dal 1 gennaio 2014 al</w:t>
      </w:r>
      <w:r w:rsidRPr="0056043D">
        <w:rPr>
          <w:sz w:val="24"/>
          <w:szCs w:val="24"/>
        </w:rPr>
        <w:t xml:space="preserve"> personale iscritto alla gestione separata INPS e a seguito di chiarimenti pervenuti dallo stesso Istituto previdenziale, si comunica che è stato necessario intervenire nuovamente sull’aliquota a carico dei soggetti iscritti alla gestione separata INPS senz</w:t>
      </w:r>
      <w:r>
        <w:rPr>
          <w:sz w:val="24"/>
          <w:szCs w:val="24"/>
        </w:rPr>
        <w:t>a altra copertura assicurativa.</w:t>
      </w:r>
    </w:p>
    <w:p w:rsidR="00A76B91" w:rsidRPr="0056043D" w:rsidRDefault="00A76B91" w:rsidP="0056043D">
      <w:pPr>
        <w:jc w:val="both"/>
        <w:rPr>
          <w:sz w:val="24"/>
          <w:szCs w:val="24"/>
        </w:rPr>
      </w:pPr>
    </w:p>
    <w:p w:rsidR="00A76B91" w:rsidRPr="0056043D" w:rsidRDefault="00A76B91" w:rsidP="0056043D">
      <w:pPr>
        <w:jc w:val="both"/>
        <w:rPr>
          <w:sz w:val="24"/>
          <w:szCs w:val="24"/>
        </w:rPr>
      </w:pPr>
      <w:r w:rsidRPr="0056043D">
        <w:rPr>
          <w:sz w:val="24"/>
          <w:szCs w:val="24"/>
        </w:rPr>
        <w:t>Per tale tipologia di personale l’aliquota da applicarsi è pari al 28,72% nella misura</w:t>
      </w:r>
      <w:r>
        <w:rPr>
          <w:sz w:val="24"/>
          <w:szCs w:val="24"/>
        </w:rPr>
        <w:t xml:space="preserve"> di 1/3 a carico del lavoratore</w:t>
      </w:r>
      <w:r w:rsidRPr="0056043D">
        <w:rPr>
          <w:sz w:val="24"/>
          <w:szCs w:val="24"/>
        </w:rPr>
        <w:t xml:space="preserve"> e 2/3</w:t>
      </w:r>
      <w:r>
        <w:rPr>
          <w:sz w:val="24"/>
          <w:szCs w:val="24"/>
        </w:rPr>
        <w:t xml:space="preserve"> a carico del datore di lavoro.</w:t>
      </w:r>
    </w:p>
    <w:p w:rsidR="00A76B91" w:rsidRPr="0056043D" w:rsidRDefault="00A76B91" w:rsidP="0056043D">
      <w:pPr>
        <w:jc w:val="both"/>
        <w:rPr>
          <w:sz w:val="24"/>
          <w:szCs w:val="24"/>
        </w:rPr>
      </w:pPr>
    </w:p>
    <w:p w:rsidR="00A76B91" w:rsidRPr="0056043D" w:rsidRDefault="00A76B91" w:rsidP="0056043D">
      <w:pPr>
        <w:jc w:val="both"/>
        <w:rPr>
          <w:color w:val="000000"/>
          <w:sz w:val="24"/>
          <w:szCs w:val="24"/>
        </w:rPr>
      </w:pPr>
      <w:r w:rsidRPr="0056043D">
        <w:rPr>
          <w:sz w:val="24"/>
          <w:szCs w:val="24"/>
        </w:rPr>
        <w:t>L’INPS ha, infatti precisato che le disposizioni della Legge n. 147/2013, pubblicata sul Supplemento Ordinario n.87 alla Gazzetta Ufficiale, Serie Generale n. 302 del 2 dicembre 2013 (legge di stabilità 2014) che prevedono l’aliquota della gestione separata al 27,72, si riferiscono esclusivamente ai liberi professionisti titolari</w:t>
      </w:r>
      <w:r>
        <w:rPr>
          <w:sz w:val="24"/>
          <w:szCs w:val="24"/>
        </w:rPr>
        <w:t xml:space="preserve"> di partita IVA. Pertanto per i Collaboratori e assimilati,</w:t>
      </w:r>
      <w:r w:rsidRPr="0056043D">
        <w:rPr>
          <w:sz w:val="24"/>
          <w:szCs w:val="24"/>
        </w:rPr>
        <w:t xml:space="preserve"> tipologia di personale gestita nel sistema NoiPA, da gennaio 2014, l’aliquota deve essere pari al </w:t>
      </w:r>
      <w:r>
        <w:rPr>
          <w:sz w:val="24"/>
          <w:szCs w:val="24"/>
        </w:rPr>
        <w:t>28,72% della retribuzione lorda in esito a quanto disposto</w:t>
      </w:r>
      <w:r w:rsidRPr="0056043D">
        <w:rPr>
          <w:sz w:val="24"/>
          <w:szCs w:val="24"/>
        </w:rPr>
        <w:t xml:space="preserve"> </w:t>
      </w:r>
      <w:r w:rsidRPr="0056043D">
        <w:rPr>
          <w:color w:val="000000"/>
          <w:sz w:val="24"/>
          <w:szCs w:val="24"/>
        </w:rPr>
        <w:t>dall’art. 2, co. 57, della Legge  n. 92/2012, modificata dall’art. 46-bis, co. 1, lett. g, del Decreto legge n. 83/2012.</w:t>
      </w:r>
    </w:p>
    <w:p w:rsidR="00A76B91" w:rsidRPr="0056043D" w:rsidRDefault="00A76B91" w:rsidP="0056043D">
      <w:pPr>
        <w:jc w:val="both"/>
        <w:rPr>
          <w:sz w:val="24"/>
          <w:szCs w:val="24"/>
        </w:rPr>
      </w:pPr>
    </w:p>
    <w:p w:rsidR="00A76B91" w:rsidRPr="0056043D" w:rsidRDefault="00A76B91" w:rsidP="0056043D">
      <w:pPr>
        <w:jc w:val="both"/>
        <w:rPr>
          <w:sz w:val="24"/>
          <w:szCs w:val="24"/>
        </w:rPr>
      </w:pPr>
      <w:r>
        <w:rPr>
          <w:sz w:val="24"/>
          <w:szCs w:val="24"/>
        </w:rPr>
        <w:t>Per quanto riguarda</w:t>
      </w:r>
      <w:r w:rsidRPr="0056043D">
        <w:rPr>
          <w:sz w:val="24"/>
          <w:szCs w:val="24"/>
        </w:rPr>
        <w:t xml:space="preserve"> l’aliquota per gli iscritti alla gestione separata INPS titolari di altra copertura assicurativa, si confermano le modifiche apportate dalla Legge di Stabilità 2014, comunicate con il messaggio 008/2014, che prevedono l’aliquota pari al</w:t>
      </w:r>
      <w:r>
        <w:rPr>
          <w:sz w:val="24"/>
          <w:szCs w:val="24"/>
        </w:rPr>
        <w:t xml:space="preserve"> 22% della retribuzione lorda, </w:t>
      </w:r>
      <w:r w:rsidRPr="0056043D">
        <w:rPr>
          <w:sz w:val="24"/>
          <w:szCs w:val="24"/>
        </w:rPr>
        <w:t>sempre n</w:t>
      </w:r>
      <w:r>
        <w:rPr>
          <w:sz w:val="24"/>
          <w:szCs w:val="24"/>
        </w:rPr>
        <w:t>ella misura di 1/3 a carico del lavoratore</w:t>
      </w:r>
      <w:r w:rsidRPr="0056043D">
        <w:rPr>
          <w:sz w:val="24"/>
          <w:szCs w:val="24"/>
        </w:rPr>
        <w:t xml:space="preserve"> e 2/3 a carico del datore di lavoro.</w:t>
      </w:r>
    </w:p>
    <w:p w:rsidR="00A76B91" w:rsidRPr="0056043D" w:rsidRDefault="00A76B91" w:rsidP="0056043D">
      <w:pPr>
        <w:jc w:val="both"/>
        <w:rPr>
          <w:sz w:val="24"/>
          <w:szCs w:val="24"/>
        </w:rPr>
      </w:pPr>
    </w:p>
    <w:p w:rsidR="00A76B91" w:rsidRPr="0056043D" w:rsidRDefault="00A76B91" w:rsidP="0056043D">
      <w:pPr>
        <w:jc w:val="both"/>
        <w:rPr>
          <w:color w:val="000000"/>
          <w:sz w:val="24"/>
          <w:szCs w:val="24"/>
        </w:rPr>
      </w:pPr>
      <w:r w:rsidRPr="0056043D">
        <w:rPr>
          <w:sz w:val="24"/>
          <w:szCs w:val="24"/>
        </w:rPr>
        <w:t>Per quanto esposto, sulla rata di marzo questa Direzione provvederà ad effettuare la regolarizzazione delle posizioni dei dipendenti interessati</w:t>
      </w:r>
      <w:r w:rsidRPr="0056043D">
        <w:rPr>
          <w:color w:val="000000"/>
          <w:sz w:val="24"/>
          <w:szCs w:val="24"/>
        </w:rPr>
        <w:t xml:space="preserve"> sia ai fini dei versamenti che delle denunce UNIEMENS.</w:t>
      </w:r>
    </w:p>
    <w:p w:rsidR="00A76B91" w:rsidRPr="0056043D" w:rsidRDefault="00A76B91" w:rsidP="0056043D">
      <w:pPr>
        <w:jc w:val="both"/>
        <w:rPr>
          <w:color w:val="000000"/>
          <w:sz w:val="24"/>
          <w:szCs w:val="24"/>
        </w:rPr>
      </w:pPr>
    </w:p>
    <w:p w:rsidR="00A76B91" w:rsidRPr="004D50DB" w:rsidRDefault="00A76B91" w:rsidP="0056043D">
      <w:pPr>
        <w:jc w:val="both"/>
        <w:rPr>
          <w:sz w:val="24"/>
          <w:szCs w:val="24"/>
        </w:rPr>
      </w:pPr>
      <w:r w:rsidRPr="0056043D">
        <w:rPr>
          <w:color w:val="000000"/>
          <w:sz w:val="24"/>
          <w:szCs w:val="24"/>
        </w:rPr>
        <w:t>Distinti saluti</w:t>
      </w:r>
    </w:p>
    <w:p w:rsidR="00A76B91" w:rsidRPr="004D50DB" w:rsidRDefault="00A76B91" w:rsidP="007E2316">
      <w:pPr>
        <w:rPr>
          <w:sz w:val="24"/>
          <w:szCs w:val="24"/>
        </w:rPr>
      </w:pPr>
    </w:p>
    <w:p w:rsidR="00A76B91" w:rsidRPr="004D50DB" w:rsidRDefault="00A76B91" w:rsidP="0056043D">
      <w:pPr>
        <w:ind w:left="5245"/>
        <w:jc w:val="center"/>
        <w:rPr>
          <w:sz w:val="24"/>
          <w:szCs w:val="24"/>
        </w:rPr>
      </w:pPr>
      <w:r w:rsidRPr="004D50DB">
        <w:rPr>
          <w:sz w:val="24"/>
          <w:szCs w:val="24"/>
        </w:rPr>
        <w:t>IL DIRIGENTE</w:t>
      </w:r>
    </w:p>
    <w:p w:rsidR="00A76B91" w:rsidRPr="004D50DB" w:rsidRDefault="00A76B91" w:rsidP="0056043D">
      <w:pPr>
        <w:ind w:left="5245"/>
        <w:jc w:val="center"/>
        <w:rPr>
          <w:sz w:val="24"/>
          <w:szCs w:val="24"/>
        </w:rPr>
      </w:pPr>
      <w:r w:rsidRPr="004D50DB">
        <w:rPr>
          <w:sz w:val="24"/>
          <w:szCs w:val="24"/>
        </w:rPr>
        <w:t>Roberta LOTTI</w:t>
      </w:r>
    </w:p>
    <w:sectPr w:rsidR="00A76B91" w:rsidRPr="004D50DB" w:rsidSect="0035765D">
      <w:footerReference w:type="even" r:id="rId8"/>
      <w:footerReference w:type="default" r:id="rId9"/>
      <w:pgSz w:w="11907" w:h="16840" w:code="9"/>
      <w:pgMar w:top="1077" w:right="1134" w:bottom="1079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B91" w:rsidRDefault="00A76B91">
      <w:r>
        <w:separator/>
      </w:r>
    </w:p>
  </w:endnote>
  <w:endnote w:type="continuationSeparator" w:id="0">
    <w:p w:rsidR="00A76B91" w:rsidRDefault="00A7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91" w:rsidRDefault="00A76B91" w:rsidP="003576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B91" w:rsidRDefault="00A76B91" w:rsidP="003576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91" w:rsidRDefault="00A76B91" w:rsidP="003576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76B91" w:rsidRDefault="00A76B91" w:rsidP="0035765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B91" w:rsidRDefault="00A76B91">
      <w:r>
        <w:separator/>
      </w:r>
    </w:p>
  </w:footnote>
  <w:footnote w:type="continuationSeparator" w:id="0">
    <w:p w:rsidR="00A76B91" w:rsidRDefault="00A76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D59"/>
    <w:multiLevelType w:val="hybridMultilevel"/>
    <w:tmpl w:val="495CC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876F0F"/>
    <w:multiLevelType w:val="hybridMultilevel"/>
    <w:tmpl w:val="49EEC7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02C1E"/>
    <w:multiLevelType w:val="hybridMultilevel"/>
    <w:tmpl w:val="A81A86F8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D8840EF"/>
    <w:multiLevelType w:val="multilevel"/>
    <w:tmpl w:val="B5E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6C95356"/>
    <w:multiLevelType w:val="hybridMultilevel"/>
    <w:tmpl w:val="9962F4A6"/>
    <w:lvl w:ilvl="0" w:tplc="EBA81F0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bCs/>
      </w:rPr>
    </w:lvl>
    <w:lvl w:ilvl="1" w:tplc="A34E6A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D9EE35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bCs/>
        <w:sz w:val="16"/>
        <w:szCs w:val="16"/>
      </w:rPr>
    </w:lvl>
    <w:lvl w:ilvl="3" w:tplc="1FBA75C0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  <w:iCs w:val="0"/>
      </w:rPr>
    </w:lvl>
    <w:lvl w:ilvl="4" w:tplc="6A7EDE96">
      <w:start w:val="1"/>
      <w:numFmt w:val="upperLetter"/>
      <w:lvlText w:val="%5."/>
      <w:lvlJc w:val="left"/>
      <w:pPr>
        <w:tabs>
          <w:tab w:val="num" w:pos="3630"/>
        </w:tabs>
        <w:ind w:left="3630" w:hanging="39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5" w:tplc="C8644B70">
      <w:start w:val="3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bCs/>
        <w:i w:val="0"/>
        <w:iCs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6570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8" w:tplc="FAECCA4E">
      <w:start w:val="3"/>
      <w:numFmt w:val="upperLetter"/>
      <w:lvlText w:val="%9."/>
      <w:lvlJc w:val="left"/>
      <w:pPr>
        <w:tabs>
          <w:tab w:val="num" w:pos="6690"/>
        </w:tabs>
        <w:ind w:left="6690" w:hanging="39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</w:abstractNum>
  <w:abstractNum w:abstractNumId="5">
    <w:nsid w:val="59AA1164"/>
    <w:multiLevelType w:val="hybridMultilevel"/>
    <w:tmpl w:val="6136E23A"/>
    <w:lvl w:ilvl="0" w:tplc="72326DB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5C4F1EAE"/>
    <w:multiLevelType w:val="multilevel"/>
    <w:tmpl w:val="8564D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9175A"/>
    <w:multiLevelType w:val="hybridMultilevel"/>
    <w:tmpl w:val="265626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52EC9"/>
    <w:multiLevelType w:val="hybridMultilevel"/>
    <w:tmpl w:val="A8008B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28C"/>
    <w:rsid w:val="00001E5F"/>
    <w:rsid w:val="0003199B"/>
    <w:rsid w:val="0003528C"/>
    <w:rsid w:val="000359C8"/>
    <w:rsid w:val="0004089C"/>
    <w:rsid w:val="00047C0B"/>
    <w:rsid w:val="00051B97"/>
    <w:rsid w:val="00052971"/>
    <w:rsid w:val="000559BB"/>
    <w:rsid w:val="000616F3"/>
    <w:rsid w:val="000765B6"/>
    <w:rsid w:val="00083C50"/>
    <w:rsid w:val="00091E15"/>
    <w:rsid w:val="000A12B5"/>
    <w:rsid w:val="000C4D06"/>
    <w:rsid w:val="000D0986"/>
    <w:rsid w:val="000F6F47"/>
    <w:rsid w:val="000F7EEA"/>
    <w:rsid w:val="00114658"/>
    <w:rsid w:val="00153AFD"/>
    <w:rsid w:val="0015495B"/>
    <w:rsid w:val="00161A3A"/>
    <w:rsid w:val="00163BC4"/>
    <w:rsid w:val="001929A5"/>
    <w:rsid w:val="001A4AFD"/>
    <w:rsid w:val="001A504A"/>
    <w:rsid w:val="001B371E"/>
    <w:rsid w:val="001B5BFB"/>
    <w:rsid w:val="001C3E03"/>
    <w:rsid w:val="001D613E"/>
    <w:rsid w:val="001E50F5"/>
    <w:rsid w:val="001E740D"/>
    <w:rsid w:val="001F137C"/>
    <w:rsid w:val="001F7136"/>
    <w:rsid w:val="00214577"/>
    <w:rsid w:val="002418F3"/>
    <w:rsid w:val="00244598"/>
    <w:rsid w:val="00252D68"/>
    <w:rsid w:val="0025604D"/>
    <w:rsid w:val="002620CA"/>
    <w:rsid w:val="00262497"/>
    <w:rsid w:val="002B694D"/>
    <w:rsid w:val="002B77C5"/>
    <w:rsid w:val="002D14E1"/>
    <w:rsid w:val="002D2A7A"/>
    <w:rsid w:val="002D7B79"/>
    <w:rsid w:val="002E54DC"/>
    <w:rsid w:val="003038D3"/>
    <w:rsid w:val="00316B78"/>
    <w:rsid w:val="00320E79"/>
    <w:rsid w:val="00321D97"/>
    <w:rsid w:val="00324D58"/>
    <w:rsid w:val="0035765D"/>
    <w:rsid w:val="003746D2"/>
    <w:rsid w:val="003A714A"/>
    <w:rsid w:val="003B01DD"/>
    <w:rsid w:val="003B27A2"/>
    <w:rsid w:val="003C47AE"/>
    <w:rsid w:val="003C4B35"/>
    <w:rsid w:val="003E52ED"/>
    <w:rsid w:val="003E6A7E"/>
    <w:rsid w:val="003F0B89"/>
    <w:rsid w:val="003F5782"/>
    <w:rsid w:val="003F69BB"/>
    <w:rsid w:val="00423161"/>
    <w:rsid w:val="00425999"/>
    <w:rsid w:val="00436194"/>
    <w:rsid w:val="00446B37"/>
    <w:rsid w:val="00456154"/>
    <w:rsid w:val="00483888"/>
    <w:rsid w:val="00487F29"/>
    <w:rsid w:val="00494C4D"/>
    <w:rsid w:val="004A33FD"/>
    <w:rsid w:val="004A7D68"/>
    <w:rsid w:val="004D50DB"/>
    <w:rsid w:val="004D7C6E"/>
    <w:rsid w:val="00524423"/>
    <w:rsid w:val="00556BCF"/>
    <w:rsid w:val="0056043D"/>
    <w:rsid w:val="005622D9"/>
    <w:rsid w:val="005755D4"/>
    <w:rsid w:val="00581030"/>
    <w:rsid w:val="00590CC4"/>
    <w:rsid w:val="005B041C"/>
    <w:rsid w:val="005B5A6C"/>
    <w:rsid w:val="005C4600"/>
    <w:rsid w:val="005D29D2"/>
    <w:rsid w:val="005D6B9A"/>
    <w:rsid w:val="005E4238"/>
    <w:rsid w:val="0060235A"/>
    <w:rsid w:val="006277C1"/>
    <w:rsid w:val="00634AD4"/>
    <w:rsid w:val="00653B20"/>
    <w:rsid w:val="006758D9"/>
    <w:rsid w:val="00697A42"/>
    <w:rsid w:val="006B34FC"/>
    <w:rsid w:val="006F113D"/>
    <w:rsid w:val="007134E2"/>
    <w:rsid w:val="0071618B"/>
    <w:rsid w:val="00717258"/>
    <w:rsid w:val="00724CB4"/>
    <w:rsid w:val="007414DC"/>
    <w:rsid w:val="00742B4F"/>
    <w:rsid w:val="0075516B"/>
    <w:rsid w:val="0079514B"/>
    <w:rsid w:val="007A2A7D"/>
    <w:rsid w:val="007B14FE"/>
    <w:rsid w:val="007C1B27"/>
    <w:rsid w:val="007C6E28"/>
    <w:rsid w:val="007D2B8C"/>
    <w:rsid w:val="007D3F0C"/>
    <w:rsid w:val="007E2316"/>
    <w:rsid w:val="007F6239"/>
    <w:rsid w:val="007F76BB"/>
    <w:rsid w:val="00804E0F"/>
    <w:rsid w:val="00827BD8"/>
    <w:rsid w:val="00835C9C"/>
    <w:rsid w:val="00836D0C"/>
    <w:rsid w:val="00854776"/>
    <w:rsid w:val="00856B49"/>
    <w:rsid w:val="008A05C6"/>
    <w:rsid w:val="008B5A50"/>
    <w:rsid w:val="008C13CC"/>
    <w:rsid w:val="008C15F9"/>
    <w:rsid w:val="008C2BEE"/>
    <w:rsid w:val="008D5DDB"/>
    <w:rsid w:val="008D5F2E"/>
    <w:rsid w:val="008E26CC"/>
    <w:rsid w:val="008F0044"/>
    <w:rsid w:val="009052F1"/>
    <w:rsid w:val="00906104"/>
    <w:rsid w:val="00913D49"/>
    <w:rsid w:val="00946034"/>
    <w:rsid w:val="00952911"/>
    <w:rsid w:val="009860A4"/>
    <w:rsid w:val="0099286E"/>
    <w:rsid w:val="009B04EA"/>
    <w:rsid w:val="009C652C"/>
    <w:rsid w:val="009D441F"/>
    <w:rsid w:val="009E23B1"/>
    <w:rsid w:val="00A040CA"/>
    <w:rsid w:val="00A06872"/>
    <w:rsid w:val="00A2612F"/>
    <w:rsid w:val="00A31684"/>
    <w:rsid w:val="00A53164"/>
    <w:rsid w:val="00A6451C"/>
    <w:rsid w:val="00A76B91"/>
    <w:rsid w:val="00A8132D"/>
    <w:rsid w:val="00A9394F"/>
    <w:rsid w:val="00AC35BB"/>
    <w:rsid w:val="00AD5A38"/>
    <w:rsid w:val="00AE797F"/>
    <w:rsid w:val="00AF2D83"/>
    <w:rsid w:val="00B065D8"/>
    <w:rsid w:val="00B11716"/>
    <w:rsid w:val="00B76E84"/>
    <w:rsid w:val="00B94386"/>
    <w:rsid w:val="00BA20CC"/>
    <w:rsid w:val="00BE0E0A"/>
    <w:rsid w:val="00BE691D"/>
    <w:rsid w:val="00BE7E58"/>
    <w:rsid w:val="00C006ED"/>
    <w:rsid w:val="00C01AE8"/>
    <w:rsid w:val="00C577CB"/>
    <w:rsid w:val="00C60687"/>
    <w:rsid w:val="00C6204C"/>
    <w:rsid w:val="00C82799"/>
    <w:rsid w:val="00C952CD"/>
    <w:rsid w:val="00CA06F4"/>
    <w:rsid w:val="00CA3FF3"/>
    <w:rsid w:val="00CB01FF"/>
    <w:rsid w:val="00CC117E"/>
    <w:rsid w:val="00CC2F3F"/>
    <w:rsid w:val="00CC3D9B"/>
    <w:rsid w:val="00CC4F7E"/>
    <w:rsid w:val="00CD56B6"/>
    <w:rsid w:val="00CE40AA"/>
    <w:rsid w:val="00CE6586"/>
    <w:rsid w:val="00D02843"/>
    <w:rsid w:val="00D114BA"/>
    <w:rsid w:val="00D12F9A"/>
    <w:rsid w:val="00D13CD7"/>
    <w:rsid w:val="00D21700"/>
    <w:rsid w:val="00D41404"/>
    <w:rsid w:val="00D73465"/>
    <w:rsid w:val="00D75271"/>
    <w:rsid w:val="00D869B0"/>
    <w:rsid w:val="00D91649"/>
    <w:rsid w:val="00D91DA2"/>
    <w:rsid w:val="00DA2C88"/>
    <w:rsid w:val="00DB701B"/>
    <w:rsid w:val="00DD3C48"/>
    <w:rsid w:val="00DE65C3"/>
    <w:rsid w:val="00DE7F0A"/>
    <w:rsid w:val="00E2380D"/>
    <w:rsid w:val="00E43ECF"/>
    <w:rsid w:val="00E500CB"/>
    <w:rsid w:val="00E51D6D"/>
    <w:rsid w:val="00E71F07"/>
    <w:rsid w:val="00E92B89"/>
    <w:rsid w:val="00E94FA3"/>
    <w:rsid w:val="00EB23EE"/>
    <w:rsid w:val="00EC0B7F"/>
    <w:rsid w:val="00EC3384"/>
    <w:rsid w:val="00ED1C84"/>
    <w:rsid w:val="00F04EED"/>
    <w:rsid w:val="00F13A8E"/>
    <w:rsid w:val="00F32114"/>
    <w:rsid w:val="00F4537E"/>
    <w:rsid w:val="00F5420E"/>
    <w:rsid w:val="00F7026D"/>
    <w:rsid w:val="00F7646D"/>
    <w:rsid w:val="00F86B6C"/>
    <w:rsid w:val="00FC134F"/>
    <w:rsid w:val="00FE1D9D"/>
    <w:rsid w:val="00FE5AB4"/>
    <w:rsid w:val="00FF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8C"/>
    <w:rPr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528C"/>
    <w:pPr>
      <w:keepNext/>
      <w:spacing w:before="240" w:after="240"/>
      <w:ind w:left="5812" w:hanging="2552"/>
      <w:jc w:val="both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B24BBF"/>
    <w:rPr>
      <w:rFonts w:asciiTheme="minorHAnsi" w:eastAsiaTheme="minorEastAsia" w:hAnsiTheme="minorHAnsi" w:cstheme="minorBidi"/>
      <w:b/>
      <w:bCs/>
    </w:rPr>
  </w:style>
  <w:style w:type="paragraph" w:customStyle="1" w:styleId="BodyTable">
    <w:name w:val="BodyTable"/>
    <w:basedOn w:val="Normal"/>
    <w:uiPriority w:val="99"/>
    <w:rsid w:val="0003528C"/>
    <w:pPr>
      <w:spacing w:before="115"/>
    </w:pPr>
  </w:style>
  <w:style w:type="paragraph" w:styleId="BodyText">
    <w:name w:val="Body Text"/>
    <w:basedOn w:val="Normal"/>
    <w:link w:val="BodyTextChar"/>
    <w:uiPriority w:val="99"/>
    <w:rsid w:val="0003528C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BBF"/>
    <w:rPr>
      <w:sz w:val="20"/>
      <w:szCs w:val="20"/>
    </w:rPr>
  </w:style>
  <w:style w:type="table" w:styleId="TableGrid">
    <w:name w:val="Table Grid"/>
    <w:basedOn w:val="TableNormal"/>
    <w:uiPriority w:val="99"/>
    <w:rsid w:val="000352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3528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BBF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03528C"/>
  </w:style>
  <w:style w:type="character" w:styleId="Hyperlink">
    <w:name w:val="Hyperlink"/>
    <w:basedOn w:val="DefaultParagraphFont"/>
    <w:uiPriority w:val="99"/>
    <w:rsid w:val="0003528C"/>
    <w:rPr>
      <w:color w:val="457FAF"/>
      <w:u w:val="single"/>
    </w:rPr>
  </w:style>
  <w:style w:type="character" w:customStyle="1" w:styleId="rvts10">
    <w:name w:val="rvts10"/>
    <w:basedOn w:val="DefaultParagraphFont"/>
    <w:uiPriority w:val="99"/>
    <w:rsid w:val="0003528C"/>
    <w:rPr>
      <w:rFonts w:ascii="Verdana" w:hAnsi="Verdana" w:cs="Verdana"/>
    </w:rPr>
  </w:style>
  <w:style w:type="character" w:customStyle="1" w:styleId="rvts11">
    <w:name w:val="rvts11"/>
    <w:basedOn w:val="DefaultParagraphFont"/>
    <w:uiPriority w:val="99"/>
    <w:rsid w:val="0003528C"/>
    <w:rPr>
      <w:rFonts w:ascii="Verdana" w:hAnsi="Verdana" w:cs="Verdana"/>
      <w:b/>
      <w:bCs/>
      <w:i/>
      <w:iCs/>
    </w:rPr>
  </w:style>
  <w:style w:type="character" w:customStyle="1" w:styleId="rvts62">
    <w:name w:val="rvts62"/>
    <w:basedOn w:val="DefaultParagraphFont"/>
    <w:uiPriority w:val="99"/>
    <w:rsid w:val="0003528C"/>
    <w:rPr>
      <w:rFonts w:ascii="Verdana" w:hAnsi="Verdana" w:cs="Verdana"/>
    </w:rPr>
  </w:style>
  <w:style w:type="paragraph" w:customStyle="1" w:styleId="rvps2">
    <w:name w:val="rvps2"/>
    <w:basedOn w:val="Normal"/>
    <w:uiPriority w:val="99"/>
    <w:rsid w:val="00A8132D"/>
    <w:pPr>
      <w:spacing w:after="60" w:line="300" w:lineRule="atLeast"/>
      <w:jc w:val="both"/>
    </w:pPr>
    <w:rPr>
      <w:sz w:val="24"/>
      <w:szCs w:val="24"/>
    </w:rPr>
  </w:style>
  <w:style w:type="paragraph" w:customStyle="1" w:styleId="rvps3">
    <w:name w:val="rvps3"/>
    <w:basedOn w:val="Normal"/>
    <w:uiPriority w:val="99"/>
    <w:rsid w:val="00A8132D"/>
    <w:pPr>
      <w:spacing w:after="60" w:line="300" w:lineRule="atLeast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B065D8"/>
    <w:rPr>
      <w:sz w:val="24"/>
      <w:szCs w:val="24"/>
    </w:rPr>
  </w:style>
  <w:style w:type="paragraph" w:customStyle="1" w:styleId="rvps6">
    <w:name w:val="rvps6"/>
    <w:basedOn w:val="Normal"/>
    <w:uiPriority w:val="99"/>
    <w:rsid w:val="00B065D8"/>
    <w:pPr>
      <w:spacing w:after="60" w:line="300" w:lineRule="atLeast"/>
      <w:jc w:val="both"/>
    </w:pPr>
    <w:rPr>
      <w:sz w:val="24"/>
      <w:szCs w:val="24"/>
    </w:rPr>
  </w:style>
  <w:style w:type="character" w:customStyle="1" w:styleId="rvts12">
    <w:name w:val="rvts12"/>
    <w:basedOn w:val="DefaultParagraphFont"/>
    <w:uiPriority w:val="99"/>
    <w:rsid w:val="00B065D8"/>
    <w:rPr>
      <w:rFonts w:ascii="Verdana" w:hAnsi="Verdana" w:cs="Verdana"/>
    </w:rPr>
  </w:style>
  <w:style w:type="paragraph" w:customStyle="1" w:styleId="ABLOCKPARA">
    <w:name w:val="A BLOCK PARA"/>
    <w:basedOn w:val="Normal"/>
    <w:uiPriority w:val="99"/>
    <w:rsid w:val="00D91649"/>
    <w:rPr>
      <w:rFonts w:ascii="Book Antiqua" w:hAnsi="Book Antiqua" w:cs="Book Antiqu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27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BF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CA3F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BBF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8D5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163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40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41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330</Words>
  <Characters>1885</Characters>
  <Application>Microsoft Office Outlook</Application>
  <DocSecurity>0</DocSecurity>
  <Lines>0</Lines>
  <Paragraphs>0</Paragraphs>
  <ScaleCrop>false</ScaleCrop>
  <Company>IV dip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dell’Economia e delle Finanze</dc:title>
  <dc:subject/>
  <dc:creator>tiziana.tempesta</dc:creator>
  <cp:keywords/>
  <dc:description/>
  <cp:lastModifiedBy>Antonella</cp:lastModifiedBy>
  <cp:revision>2</cp:revision>
  <cp:lastPrinted>2012-03-07T09:51:00Z</cp:lastPrinted>
  <dcterms:created xsi:type="dcterms:W3CDTF">2014-02-14T16:18:00Z</dcterms:created>
  <dcterms:modified xsi:type="dcterms:W3CDTF">2014-02-14T16:18:00Z</dcterms:modified>
</cp:coreProperties>
</file>