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AB" w:rsidRDefault="00EA6DAB" w:rsidP="008B689E">
      <w:pPr>
        <w:ind w:right="-23"/>
        <w:rPr>
          <w:b/>
          <w:bCs/>
          <w:sz w:val="28"/>
          <w:szCs w:val="28"/>
        </w:rPr>
      </w:pPr>
    </w:p>
    <w:p w:rsidR="00EA6DAB" w:rsidRDefault="00EA6DAB" w:rsidP="00390A8B">
      <w:pPr>
        <w:ind w:right="-23"/>
        <w:jc w:val="center"/>
        <w:rPr>
          <w:b/>
          <w:bCs/>
          <w:sz w:val="28"/>
          <w:szCs w:val="28"/>
        </w:rPr>
      </w:pPr>
    </w:p>
    <w:p w:rsidR="00EA6DAB" w:rsidRPr="002B5824" w:rsidRDefault="00EA6DAB" w:rsidP="00390A8B">
      <w:pPr>
        <w:ind w:right="-23"/>
        <w:jc w:val="center"/>
        <w:rPr>
          <w:b/>
          <w:bCs/>
          <w:sz w:val="28"/>
          <w:szCs w:val="28"/>
        </w:rPr>
      </w:pPr>
      <w:r w:rsidRPr="002B5824">
        <w:rPr>
          <w:b/>
          <w:bCs/>
          <w:sz w:val="28"/>
          <w:szCs w:val="28"/>
        </w:rPr>
        <w:t>COMUNICATO</w:t>
      </w:r>
      <w:r>
        <w:rPr>
          <w:b/>
          <w:bCs/>
          <w:sz w:val="28"/>
          <w:szCs w:val="28"/>
        </w:rPr>
        <w:t xml:space="preserve"> </w:t>
      </w:r>
      <w:r w:rsidRPr="00C53BF2">
        <w:rPr>
          <w:b/>
          <w:bCs/>
          <w:sz w:val="28"/>
          <w:szCs w:val="28"/>
        </w:rPr>
        <w:t>DELL’AUTORITA’</w:t>
      </w:r>
    </w:p>
    <w:p w:rsidR="00EA6DAB" w:rsidRPr="002B5824" w:rsidRDefault="00EA6DAB" w:rsidP="00390A8B">
      <w:pPr>
        <w:ind w:right="-23"/>
        <w:jc w:val="center"/>
        <w:rPr>
          <w:b/>
          <w:bCs/>
          <w:sz w:val="28"/>
          <w:szCs w:val="28"/>
        </w:rPr>
      </w:pPr>
    </w:p>
    <w:p w:rsidR="00EA6DAB" w:rsidRPr="002B5824" w:rsidRDefault="00EA6DAB" w:rsidP="00390A8B">
      <w:pPr>
        <w:ind w:right="-23"/>
        <w:jc w:val="center"/>
        <w:rPr>
          <w:b/>
          <w:bCs/>
          <w:sz w:val="28"/>
          <w:szCs w:val="28"/>
        </w:rPr>
      </w:pPr>
    </w:p>
    <w:p w:rsidR="00EA6DAB" w:rsidRPr="00387F82" w:rsidRDefault="00EA6DAB" w:rsidP="00390A8B">
      <w:pPr>
        <w:ind w:right="-23"/>
        <w:jc w:val="both"/>
        <w:rPr>
          <w:i/>
          <w:iCs/>
          <w:sz w:val="26"/>
          <w:szCs w:val="26"/>
          <w:u w:val="single"/>
        </w:rPr>
      </w:pPr>
      <w:r w:rsidRPr="002B5824">
        <w:rPr>
          <w:i/>
          <w:iCs/>
          <w:sz w:val="26"/>
          <w:szCs w:val="26"/>
        </w:rPr>
        <w:t>TRASMISSIONE DEI DATI DEI CONTRATTI PUBBLICI DI LAVORI, SERVIZI E FORNITURE</w:t>
      </w:r>
      <w:r>
        <w:rPr>
          <w:i/>
          <w:iCs/>
          <w:sz w:val="26"/>
          <w:szCs w:val="26"/>
        </w:rPr>
        <w:t xml:space="preserve"> -</w:t>
      </w:r>
      <w:r w:rsidRPr="002B5824">
        <w:rPr>
          <w:i/>
          <w:iCs/>
          <w:sz w:val="26"/>
          <w:szCs w:val="26"/>
        </w:rPr>
        <w:t xml:space="preserve"> SETTORI ORDINARI</w:t>
      </w:r>
      <w:r>
        <w:rPr>
          <w:i/>
          <w:iCs/>
          <w:sz w:val="26"/>
          <w:szCs w:val="26"/>
        </w:rPr>
        <w:t xml:space="preserve"> E </w:t>
      </w:r>
      <w:r w:rsidRPr="002B5824">
        <w:rPr>
          <w:i/>
          <w:iCs/>
          <w:sz w:val="26"/>
          <w:szCs w:val="26"/>
        </w:rPr>
        <w:t xml:space="preserve">SPECIALI </w:t>
      </w:r>
      <w:r>
        <w:rPr>
          <w:i/>
          <w:iCs/>
          <w:sz w:val="26"/>
          <w:szCs w:val="26"/>
        </w:rPr>
        <w:t xml:space="preserve">– </w:t>
      </w:r>
      <w:r>
        <w:rPr>
          <w:i/>
          <w:iCs/>
          <w:sz w:val="26"/>
          <w:szCs w:val="26"/>
          <w:u w:val="single"/>
        </w:rPr>
        <w:t>ALLINEAMENTO  A 40.</w:t>
      </w:r>
      <w:r w:rsidRPr="00B9659B">
        <w:rPr>
          <w:i/>
          <w:iCs/>
          <w:color w:val="auto"/>
          <w:sz w:val="26"/>
          <w:szCs w:val="26"/>
          <w:u w:val="single"/>
        </w:rPr>
        <w:t>00</w:t>
      </w:r>
      <w:r>
        <w:rPr>
          <w:i/>
          <w:iCs/>
          <w:color w:val="auto"/>
          <w:sz w:val="26"/>
          <w:szCs w:val="26"/>
          <w:u w:val="single"/>
        </w:rPr>
        <w:t>0 € D</w:t>
      </w:r>
      <w:r>
        <w:rPr>
          <w:i/>
          <w:iCs/>
          <w:sz w:val="26"/>
          <w:szCs w:val="26"/>
          <w:u w:val="single"/>
        </w:rPr>
        <w:t xml:space="preserve">ELLA SOGLIA MINIMA PER LE COMUNICAZIONI EX ART.7 CO.8  D.Lgs. N. 163/2006 </w:t>
      </w:r>
    </w:p>
    <w:p w:rsidR="00EA6DAB" w:rsidRPr="002B5824" w:rsidRDefault="00EA6DAB" w:rsidP="00390A8B">
      <w:pPr>
        <w:ind w:right="-23"/>
        <w:jc w:val="both"/>
        <w:rPr>
          <w:sz w:val="26"/>
          <w:szCs w:val="26"/>
        </w:rPr>
      </w:pPr>
    </w:p>
    <w:p w:rsidR="00EA6DAB" w:rsidRDefault="00EA6DAB" w:rsidP="00390A8B">
      <w:pPr>
        <w:ind w:right="-23"/>
        <w:jc w:val="both"/>
        <w:rPr>
          <w:sz w:val="26"/>
          <w:szCs w:val="26"/>
        </w:rPr>
      </w:pPr>
    </w:p>
    <w:p w:rsidR="00EA6DAB" w:rsidRDefault="00EA6DAB" w:rsidP="00390A8B">
      <w:pPr>
        <w:ind w:right="-23"/>
        <w:jc w:val="both"/>
        <w:rPr>
          <w:sz w:val="26"/>
          <w:szCs w:val="26"/>
        </w:rPr>
      </w:pPr>
    </w:p>
    <w:p w:rsidR="00EA6DAB" w:rsidRPr="002B5824" w:rsidRDefault="00EA6DAB" w:rsidP="00390A8B">
      <w:pPr>
        <w:ind w:right="-23"/>
        <w:jc w:val="both"/>
        <w:rPr>
          <w:sz w:val="26"/>
          <w:szCs w:val="26"/>
        </w:rPr>
      </w:pPr>
    </w:p>
    <w:p w:rsidR="00EA6DAB" w:rsidRPr="002B5824" w:rsidRDefault="00EA6DAB" w:rsidP="00390A8B">
      <w:pPr>
        <w:ind w:right="-23"/>
        <w:jc w:val="center"/>
        <w:rPr>
          <w:b/>
          <w:bCs/>
          <w:sz w:val="26"/>
          <w:szCs w:val="26"/>
        </w:rPr>
      </w:pPr>
      <w:r w:rsidRPr="002B5824">
        <w:rPr>
          <w:b/>
          <w:bCs/>
          <w:sz w:val="26"/>
          <w:szCs w:val="26"/>
        </w:rPr>
        <w:t>IL PRESIDENTE</w:t>
      </w:r>
    </w:p>
    <w:p w:rsidR="00EA6DAB" w:rsidRDefault="00EA6DAB" w:rsidP="00390A8B">
      <w:pPr>
        <w:ind w:right="-23"/>
        <w:jc w:val="center"/>
        <w:rPr>
          <w:b/>
          <w:bCs/>
          <w:sz w:val="26"/>
          <w:szCs w:val="26"/>
        </w:rPr>
      </w:pPr>
    </w:p>
    <w:p w:rsidR="00EA6DAB" w:rsidRPr="002B5824" w:rsidRDefault="00EA6DAB" w:rsidP="00390A8B">
      <w:pPr>
        <w:ind w:right="-23"/>
        <w:jc w:val="center"/>
        <w:rPr>
          <w:b/>
          <w:bCs/>
          <w:sz w:val="26"/>
          <w:szCs w:val="26"/>
        </w:rPr>
      </w:pPr>
    </w:p>
    <w:p w:rsidR="00EA6DAB" w:rsidRPr="007B3FC0" w:rsidRDefault="00EA6DAB" w:rsidP="00390A8B">
      <w:pPr>
        <w:ind w:right="-23"/>
        <w:rPr>
          <w:sz w:val="26"/>
          <w:szCs w:val="26"/>
        </w:rPr>
      </w:pPr>
      <w:r w:rsidRPr="007B3FC0">
        <w:rPr>
          <w:sz w:val="26"/>
          <w:szCs w:val="26"/>
        </w:rPr>
        <w:t>VISTO</w:t>
      </w:r>
    </w:p>
    <w:p w:rsidR="00EA6DAB" w:rsidRDefault="00EA6DAB" w:rsidP="00390A8B">
      <w:pPr>
        <w:ind w:right="-23"/>
        <w:jc w:val="both"/>
        <w:rPr>
          <w:sz w:val="26"/>
          <w:szCs w:val="26"/>
        </w:rPr>
      </w:pPr>
      <w:r w:rsidRPr="007B3FC0">
        <w:rPr>
          <w:sz w:val="26"/>
          <w:szCs w:val="26"/>
        </w:rPr>
        <w:t xml:space="preserve"> </w:t>
      </w:r>
    </w:p>
    <w:p w:rsidR="00EA6DAB" w:rsidRDefault="00EA6DAB" w:rsidP="00390A8B">
      <w:pPr>
        <w:widowControl/>
        <w:numPr>
          <w:ilvl w:val="0"/>
          <w:numId w:val="3"/>
        </w:numPr>
        <w:ind w:left="284" w:right="-23" w:hanging="2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</w:t>
      </w:r>
      <w:r w:rsidRPr="00FA7681">
        <w:rPr>
          <w:sz w:val="26"/>
          <w:szCs w:val="26"/>
        </w:rPr>
        <w:t>decreto legislativo 12 aprile 2006</w:t>
      </w:r>
      <w:r>
        <w:rPr>
          <w:sz w:val="26"/>
          <w:szCs w:val="26"/>
        </w:rPr>
        <w:t>,</w:t>
      </w:r>
      <w:r w:rsidRPr="00FA7681">
        <w:rPr>
          <w:sz w:val="26"/>
          <w:szCs w:val="26"/>
        </w:rPr>
        <w:t xml:space="preserve"> n. 163 “Codice dei contratti pubblici relativi </w:t>
      </w:r>
      <w:r>
        <w:rPr>
          <w:sz w:val="26"/>
          <w:szCs w:val="26"/>
        </w:rPr>
        <w:t>a lavori, servizi e forniture”;</w:t>
      </w:r>
    </w:p>
    <w:p w:rsidR="00EA6DAB" w:rsidRDefault="00EA6DAB" w:rsidP="00634AF8">
      <w:pPr>
        <w:widowControl/>
        <w:ind w:left="284" w:right="-23"/>
        <w:jc w:val="both"/>
        <w:rPr>
          <w:sz w:val="26"/>
          <w:szCs w:val="26"/>
        </w:rPr>
      </w:pPr>
    </w:p>
    <w:p w:rsidR="00EA6DAB" w:rsidRPr="00634AF8" w:rsidRDefault="00EA6DAB" w:rsidP="00634AF8">
      <w:pPr>
        <w:widowControl/>
        <w:numPr>
          <w:ilvl w:val="0"/>
          <w:numId w:val="3"/>
        </w:numPr>
        <w:ind w:left="284" w:right="-23" w:hanging="218"/>
        <w:jc w:val="both"/>
        <w:rPr>
          <w:sz w:val="26"/>
          <w:szCs w:val="26"/>
        </w:rPr>
      </w:pPr>
      <w:r>
        <w:rPr>
          <w:sz w:val="26"/>
          <w:szCs w:val="26"/>
        </w:rPr>
        <w:t>Il decreto legge</w:t>
      </w:r>
      <w:r w:rsidRPr="00634AF8">
        <w:rPr>
          <w:sz w:val="26"/>
          <w:szCs w:val="26"/>
        </w:rPr>
        <w:t xml:space="preserve"> 7 maggio 2012, n. 52 </w:t>
      </w:r>
      <w:r>
        <w:rPr>
          <w:sz w:val="26"/>
          <w:szCs w:val="26"/>
        </w:rPr>
        <w:t>come modificato dalla</w:t>
      </w:r>
      <w:r w:rsidRPr="00634AF8">
        <w:rPr>
          <w:sz w:val="26"/>
          <w:szCs w:val="26"/>
        </w:rPr>
        <w:t xml:space="preserve"> legge di conversione 6 luglio 2012, n. 94 recante:  «Disposizioni  urgenti  per  la razional</w:t>
      </w:r>
      <w:r>
        <w:rPr>
          <w:sz w:val="26"/>
          <w:szCs w:val="26"/>
        </w:rPr>
        <w:t>izzazione della spesa pubblica»;</w:t>
      </w:r>
    </w:p>
    <w:p w:rsidR="00EA6DAB" w:rsidRPr="00634AF8" w:rsidRDefault="00EA6DAB" w:rsidP="00634AF8">
      <w:pPr>
        <w:widowControl/>
        <w:ind w:left="284" w:right="-23"/>
        <w:jc w:val="both"/>
        <w:rPr>
          <w:sz w:val="26"/>
          <w:szCs w:val="26"/>
        </w:rPr>
      </w:pPr>
    </w:p>
    <w:p w:rsidR="00EA6DAB" w:rsidRDefault="00EA6DAB" w:rsidP="00390A8B">
      <w:pPr>
        <w:widowControl/>
        <w:numPr>
          <w:ilvl w:val="0"/>
          <w:numId w:val="3"/>
        </w:numPr>
        <w:ind w:left="284" w:right="-23" w:hanging="218"/>
        <w:jc w:val="both"/>
        <w:rPr>
          <w:sz w:val="26"/>
          <w:szCs w:val="26"/>
        </w:rPr>
      </w:pPr>
      <w:r w:rsidRPr="00387F82">
        <w:rPr>
          <w:sz w:val="26"/>
          <w:szCs w:val="26"/>
        </w:rPr>
        <w:t xml:space="preserve">il comunicato </w:t>
      </w:r>
      <w:r>
        <w:rPr>
          <w:sz w:val="26"/>
          <w:szCs w:val="26"/>
        </w:rPr>
        <w:t xml:space="preserve">del Presidente </w:t>
      </w:r>
      <w:r w:rsidRPr="00387F82">
        <w:rPr>
          <w:sz w:val="26"/>
          <w:szCs w:val="26"/>
        </w:rPr>
        <w:t xml:space="preserve">dell’Autorità in data 4 aprile 2008, pubblicato </w:t>
      </w:r>
      <w:r w:rsidRPr="00D418A8">
        <w:rPr>
          <w:sz w:val="26"/>
          <w:szCs w:val="26"/>
        </w:rPr>
        <w:t>sulla Gazzetta Ufficiale n. 94 del 21 aprile 2008</w:t>
      </w:r>
      <w:r w:rsidRPr="00387F82">
        <w:rPr>
          <w:sz w:val="26"/>
          <w:szCs w:val="26"/>
        </w:rPr>
        <w:t xml:space="preserve">, con il quale sono state rese note le modalità per l’invio all’Osservatorio delle informazioni relative ai contratti pubblici aventi ad oggetto l’esecuzione di opere o lavori, servizi e forniture di importo superiore a 150.000 euro;  </w:t>
      </w:r>
    </w:p>
    <w:p w:rsidR="00EA6DAB" w:rsidRDefault="00EA6DAB" w:rsidP="00390A8B">
      <w:pPr>
        <w:ind w:left="284" w:right="-23"/>
        <w:jc w:val="both"/>
        <w:rPr>
          <w:sz w:val="26"/>
          <w:szCs w:val="26"/>
        </w:rPr>
      </w:pPr>
    </w:p>
    <w:p w:rsidR="00EA6DAB" w:rsidRDefault="00EA6DAB" w:rsidP="00390A8B">
      <w:pPr>
        <w:widowControl/>
        <w:numPr>
          <w:ilvl w:val="0"/>
          <w:numId w:val="3"/>
        </w:numPr>
        <w:ind w:left="284" w:right="-23" w:hanging="218"/>
        <w:jc w:val="both"/>
        <w:rPr>
          <w:sz w:val="26"/>
          <w:szCs w:val="26"/>
        </w:rPr>
      </w:pPr>
      <w:r w:rsidRPr="00387F82">
        <w:rPr>
          <w:sz w:val="26"/>
          <w:szCs w:val="26"/>
        </w:rPr>
        <w:t xml:space="preserve">il comunicato </w:t>
      </w:r>
      <w:r>
        <w:rPr>
          <w:sz w:val="26"/>
          <w:szCs w:val="26"/>
        </w:rPr>
        <w:t xml:space="preserve">del Presidente </w:t>
      </w:r>
      <w:r w:rsidRPr="00387F82">
        <w:rPr>
          <w:sz w:val="26"/>
          <w:szCs w:val="26"/>
        </w:rPr>
        <w:t>dell’Autorità in data</w:t>
      </w:r>
      <w:r>
        <w:rPr>
          <w:sz w:val="26"/>
          <w:szCs w:val="26"/>
        </w:rPr>
        <w:t xml:space="preserve"> 14 dicembre 2010,</w:t>
      </w:r>
      <w:r w:rsidRPr="00387F82">
        <w:rPr>
          <w:sz w:val="26"/>
          <w:szCs w:val="26"/>
        </w:rPr>
        <w:t xml:space="preserve"> pubblicato </w:t>
      </w:r>
      <w:r>
        <w:rPr>
          <w:sz w:val="26"/>
          <w:szCs w:val="26"/>
        </w:rPr>
        <w:t>sulla Gazzetta Ufficiale n. 296 del 20</w:t>
      </w:r>
      <w:r w:rsidRPr="00D418A8">
        <w:rPr>
          <w:sz w:val="26"/>
          <w:szCs w:val="26"/>
        </w:rPr>
        <w:t xml:space="preserve"> </w:t>
      </w:r>
      <w:r>
        <w:rPr>
          <w:sz w:val="26"/>
          <w:szCs w:val="26"/>
        </w:rPr>
        <w:t>dicembre</w:t>
      </w:r>
      <w:r w:rsidRPr="00D418A8">
        <w:rPr>
          <w:sz w:val="26"/>
          <w:szCs w:val="26"/>
        </w:rPr>
        <w:t xml:space="preserve"> 20</w:t>
      </w:r>
      <w:r>
        <w:rPr>
          <w:sz w:val="26"/>
          <w:szCs w:val="26"/>
        </w:rPr>
        <w:t>10, con il quale si estendeva la rilevazione ai contratti di importo inferiore o uguale a 150.000 euro, ai contratti “esclusi” di cui agli artt. 19, 20, 21, 22, 23, 24 e 26 del D.Lgs</w:t>
      </w:r>
      <w:r w:rsidRPr="00FA7681">
        <w:rPr>
          <w:sz w:val="26"/>
          <w:szCs w:val="26"/>
        </w:rPr>
        <w:t xml:space="preserve"> 12 aprile 2006</w:t>
      </w:r>
      <w:r>
        <w:rPr>
          <w:sz w:val="26"/>
          <w:szCs w:val="26"/>
        </w:rPr>
        <w:t>, n. 163 di importo superiore a 150.000 euro, e agli accordi quadro e fattispecie consimili;</w:t>
      </w:r>
    </w:p>
    <w:p w:rsidR="00EA6DAB" w:rsidRDefault="00EA6DAB" w:rsidP="008636B2">
      <w:pPr>
        <w:pStyle w:val="ListParagraph"/>
        <w:rPr>
          <w:sz w:val="26"/>
          <w:szCs w:val="26"/>
        </w:rPr>
      </w:pPr>
    </w:p>
    <w:p w:rsidR="00EA6DAB" w:rsidRDefault="00EA6DAB" w:rsidP="00390A8B">
      <w:pPr>
        <w:widowControl/>
        <w:numPr>
          <w:ilvl w:val="0"/>
          <w:numId w:val="3"/>
        </w:numPr>
        <w:ind w:left="284" w:right="-23" w:hanging="218"/>
        <w:jc w:val="both"/>
        <w:rPr>
          <w:sz w:val="26"/>
          <w:szCs w:val="26"/>
        </w:rPr>
      </w:pPr>
      <w:r w:rsidRPr="00387F82">
        <w:rPr>
          <w:sz w:val="26"/>
          <w:szCs w:val="26"/>
        </w:rPr>
        <w:t xml:space="preserve">il comunicato </w:t>
      </w:r>
      <w:r>
        <w:rPr>
          <w:sz w:val="26"/>
          <w:szCs w:val="26"/>
        </w:rPr>
        <w:t xml:space="preserve">del Presidente </w:t>
      </w:r>
      <w:r w:rsidRPr="00387F82">
        <w:rPr>
          <w:sz w:val="26"/>
          <w:szCs w:val="26"/>
        </w:rPr>
        <w:t>dell’Autorità in data</w:t>
      </w:r>
      <w:r>
        <w:rPr>
          <w:sz w:val="26"/>
          <w:szCs w:val="26"/>
        </w:rPr>
        <w:t xml:space="preserve"> 15 luglio 2011, </w:t>
      </w:r>
      <w:r w:rsidRPr="00387F82">
        <w:rPr>
          <w:sz w:val="26"/>
          <w:szCs w:val="26"/>
        </w:rPr>
        <w:t xml:space="preserve">pubblicato </w:t>
      </w:r>
      <w:r>
        <w:rPr>
          <w:sz w:val="26"/>
          <w:szCs w:val="26"/>
        </w:rPr>
        <w:t>sulla Gazzetta Ufficiale n. 171 del 25</w:t>
      </w:r>
      <w:r w:rsidRPr="00D418A8">
        <w:rPr>
          <w:sz w:val="26"/>
          <w:szCs w:val="26"/>
        </w:rPr>
        <w:t xml:space="preserve"> </w:t>
      </w:r>
      <w:r>
        <w:rPr>
          <w:sz w:val="26"/>
          <w:szCs w:val="26"/>
        </w:rPr>
        <w:t>luglio</w:t>
      </w:r>
      <w:r w:rsidRPr="00D418A8">
        <w:rPr>
          <w:sz w:val="26"/>
          <w:szCs w:val="26"/>
        </w:rPr>
        <w:t xml:space="preserve"> 20</w:t>
      </w:r>
      <w:r>
        <w:rPr>
          <w:sz w:val="26"/>
          <w:szCs w:val="26"/>
        </w:rPr>
        <w:t>11, con il quale veniva unificata a 40.000 euro la soglia minima per la comunicazione dei dati sui contratti pubblici di lavori, servizi e forniture;</w:t>
      </w:r>
    </w:p>
    <w:p w:rsidR="00EA6DAB" w:rsidRDefault="00EA6DAB" w:rsidP="006624ED">
      <w:pPr>
        <w:pStyle w:val="ListParagraph"/>
        <w:rPr>
          <w:sz w:val="26"/>
          <w:szCs w:val="26"/>
        </w:rPr>
      </w:pPr>
    </w:p>
    <w:p w:rsidR="00EA6DAB" w:rsidRDefault="00EA6DAB" w:rsidP="006624ED">
      <w:pPr>
        <w:widowControl/>
        <w:numPr>
          <w:ilvl w:val="0"/>
          <w:numId w:val="3"/>
        </w:numPr>
        <w:ind w:left="284" w:right="-23" w:hanging="2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</w:t>
      </w:r>
      <w:r w:rsidRPr="006624ED">
        <w:rPr>
          <w:sz w:val="26"/>
          <w:szCs w:val="26"/>
        </w:rPr>
        <w:t xml:space="preserve">Comunicato del Presidente del 2 maggio 2011 </w:t>
      </w:r>
      <w:r>
        <w:rPr>
          <w:sz w:val="26"/>
          <w:szCs w:val="26"/>
        </w:rPr>
        <w:t>relativo alla s</w:t>
      </w:r>
      <w:r w:rsidRPr="006624ED">
        <w:rPr>
          <w:sz w:val="26"/>
          <w:szCs w:val="26"/>
        </w:rPr>
        <w:t>emplificazione delle modalità di rilascio del CIG per micro contra</w:t>
      </w:r>
      <w:r>
        <w:rPr>
          <w:sz w:val="26"/>
          <w:szCs w:val="26"/>
        </w:rPr>
        <w:t>ttualistica e contratti esclusi (smartCIG);</w:t>
      </w:r>
    </w:p>
    <w:p w:rsidR="00EA6DAB" w:rsidRDefault="00EA6DAB" w:rsidP="00390A8B">
      <w:pPr>
        <w:ind w:right="-23"/>
        <w:jc w:val="both"/>
        <w:rPr>
          <w:sz w:val="26"/>
          <w:szCs w:val="26"/>
        </w:rPr>
      </w:pPr>
    </w:p>
    <w:p w:rsidR="00EA6DAB" w:rsidRDefault="00EA6DAB" w:rsidP="00390A8B">
      <w:pPr>
        <w:ind w:right="-23"/>
        <w:jc w:val="both"/>
        <w:rPr>
          <w:sz w:val="26"/>
          <w:szCs w:val="26"/>
        </w:rPr>
      </w:pPr>
    </w:p>
    <w:p w:rsidR="00EA6DAB" w:rsidRDefault="00EA6DAB" w:rsidP="008B689E">
      <w:pPr>
        <w:ind w:right="-23"/>
        <w:rPr>
          <w:sz w:val="26"/>
          <w:szCs w:val="26"/>
        </w:rPr>
      </w:pPr>
      <w:r>
        <w:rPr>
          <w:sz w:val="26"/>
          <w:szCs w:val="26"/>
        </w:rPr>
        <w:t>CONSIDERATE</w:t>
      </w:r>
    </w:p>
    <w:p w:rsidR="00EA6DAB" w:rsidRPr="007B3FC0" w:rsidRDefault="00EA6DAB" w:rsidP="008B689E">
      <w:pPr>
        <w:ind w:right="-23"/>
        <w:rPr>
          <w:sz w:val="26"/>
          <w:szCs w:val="26"/>
        </w:rPr>
      </w:pPr>
    </w:p>
    <w:p w:rsidR="00EA6DAB" w:rsidRDefault="00EA6DAB" w:rsidP="00D06CCB">
      <w:pPr>
        <w:pStyle w:val="ListParagraph"/>
        <w:numPr>
          <w:ilvl w:val="0"/>
          <w:numId w:val="3"/>
        </w:numPr>
        <w:ind w:right="-23"/>
        <w:jc w:val="both"/>
        <w:rPr>
          <w:sz w:val="26"/>
          <w:szCs w:val="26"/>
        </w:rPr>
      </w:pPr>
      <w:r w:rsidRPr="00D06CCB">
        <w:rPr>
          <w:sz w:val="26"/>
          <w:szCs w:val="26"/>
        </w:rPr>
        <w:t>le prescrizi</w:t>
      </w:r>
      <w:r>
        <w:rPr>
          <w:sz w:val="26"/>
          <w:szCs w:val="26"/>
        </w:rPr>
        <w:t>oni dell’art. 8, co. 2 bis del</w:t>
      </w:r>
      <w:r w:rsidRPr="00D06CCB">
        <w:rPr>
          <w:sz w:val="26"/>
          <w:szCs w:val="26"/>
        </w:rPr>
        <w:t xml:space="preserve"> citato decr</w:t>
      </w:r>
      <w:r>
        <w:rPr>
          <w:sz w:val="26"/>
          <w:szCs w:val="26"/>
        </w:rPr>
        <w:t>e</w:t>
      </w:r>
      <w:r w:rsidRPr="00D06CCB">
        <w:rPr>
          <w:sz w:val="26"/>
          <w:szCs w:val="26"/>
        </w:rPr>
        <w:t>to legge n. 52/2012</w:t>
      </w:r>
      <w:r>
        <w:rPr>
          <w:sz w:val="26"/>
          <w:szCs w:val="26"/>
        </w:rPr>
        <w:t>;</w:t>
      </w:r>
    </w:p>
    <w:p w:rsidR="00EA6DAB" w:rsidRPr="00594227" w:rsidRDefault="00EA6DAB" w:rsidP="00D06CCB">
      <w:pPr>
        <w:pStyle w:val="ListParagraph"/>
        <w:ind w:left="720" w:right="-23"/>
        <w:jc w:val="both"/>
        <w:rPr>
          <w:sz w:val="16"/>
          <w:szCs w:val="16"/>
        </w:rPr>
      </w:pPr>
    </w:p>
    <w:p w:rsidR="00EA6DAB" w:rsidRPr="009E23FE" w:rsidRDefault="00EA6DAB" w:rsidP="00D06CCB">
      <w:pPr>
        <w:pStyle w:val="ListParagraph"/>
        <w:numPr>
          <w:ilvl w:val="0"/>
          <w:numId w:val="3"/>
        </w:numPr>
        <w:ind w:right="-23"/>
        <w:jc w:val="both"/>
        <w:rPr>
          <w:sz w:val="26"/>
          <w:szCs w:val="26"/>
        </w:rPr>
      </w:pPr>
      <w:r w:rsidRPr="00344AA7">
        <w:rPr>
          <w:sz w:val="26"/>
          <w:szCs w:val="26"/>
        </w:rPr>
        <w:t xml:space="preserve">le finalità di rilevazione dei dati connesse alle attività sia di vigilanza che di </w:t>
      </w:r>
      <w:r w:rsidRPr="00344AA7">
        <w:rPr>
          <w:i/>
          <w:iCs/>
          <w:sz w:val="26"/>
          <w:szCs w:val="26"/>
        </w:rPr>
        <w:t>spending review;</w:t>
      </w:r>
    </w:p>
    <w:p w:rsidR="00EA6DAB" w:rsidRPr="00594227" w:rsidRDefault="00EA6DAB" w:rsidP="00390A8B">
      <w:pPr>
        <w:ind w:right="-23"/>
        <w:jc w:val="center"/>
        <w:rPr>
          <w:b/>
          <w:bCs/>
          <w:sz w:val="16"/>
          <w:szCs w:val="16"/>
        </w:rPr>
      </w:pPr>
    </w:p>
    <w:p w:rsidR="00EA6DAB" w:rsidRPr="00594227" w:rsidRDefault="00EA6DAB" w:rsidP="00390A8B">
      <w:pPr>
        <w:ind w:right="-23"/>
        <w:jc w:val="center"/>
        <w:rPr>
          <w:b/>
          <w:bCs/>
          <w:sz w:val="16"/>
          <w:szCs w:val="16"/>
        </w:rPr>
      </w:pPr>
    </w:p>
    <w:p w:rsidR="00EA6DAB" w:rsidRPr="007B3FC0" w:rsidRDefault="00EA6DAB" w:rsidP="00390A8B">
      <w:pPr>
        <w:ind w:right="-23"/>
        <w:jc w:val="center"/>
        <w:rPr>
          <w:b/>
          <w:bCs/>
          <w:sz w:val="26"/>
          <w:szCs w:val="26"/>
        </w:rPr>
      </w:pPr>
      <w:r w:rsidRPr="007B3FC0">
        <w:rPr>
          <w:b/>
          <w:bCs/>
          <w:sz w:val="26"/>
          <w:szCs w:val="26"/>
        </w:rPr>
        <w:t>COMUNICA</w:t>
      </w:r>
    </w:p>
    <w:p w:rsidR="00EA6DAB" w:rsidRPr="00594227" w:rsidRDefault="00EA6DAB" w:rsidP="00390A8B">
      <w:pPr>
        <w:ind w:right="-23"/>
        <w:jc w:val="both"/>
        <w:rPr>
          <w:sz w:val="16"/>
          <w:szCs w:val="16"/>
        </w:rPr>
      </w:pPr>
      <w:r w:rsidRPr="007B3FC0">
        <w:rPr>
          <w:sz w:val="26"/>
          <w:szCs w:val="26"/>
        </w:rPr>
        <w:t xml:space="preserve"> </w:t>
      </w:r>
    </w:p>
    <w:p w:rsidR="00EA6DAB" w:rsidRPr="00594227" w:rsidRDefault="00EA6DAB" w:rsidP="00390A8B">
      <w:pPr>
        <w:ind w:right="-23"/>
        <w:jc w:val="both"/>
        <w:rPr>
          <w:sz w:val="16"/>
          <w:szCs w:val="16"/>
        </w:rPr>
      </w:pPr>
    </w:p>
    <w:p w:rsidR="00EA6DAB" w:rsidRPr="009E23FE" w:rsidRDefault="00EA6DAB" w:rsidP="00105171">
      <w:pPr>
        <w:widowControl/>
        <w:ind w:left="426" w:right="-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che, </w:t>
      </w:r>
      <w:r w:rsidRPr="00344AA7">
        <w:rPr>
          <w:sz w:val="26"/>
          <w:szCs w:val="26"/>
        </w:rPr>
        <w:t xml:space="preserve">per gli appalti </w:t>
      </w:r>
      <w:r>
        <w:rPr>
          <w:sz w:val="26"/>
          <w:szCs w:val="26"/>
        </w:rPr>
        <w:t xml:space="preserve">pubblicati a far data dal 1 gennaio 2013, la soglia dei 150.000 euro prevista dall’art. 7, co. 8 del DLgs 163/2006, è aggiornata al valore </w:t>
      </w:r>
      <w:r w:rsidRPr="00D91A6D">
        <w:rPr>
          <w:sz w:val="26"/>
          <w:szCs w:val="26"/>
        </w:rPr>
        <w:t xml:space="preserve">di 40.000 </w:t>
      </w:r>
      <w:r>
        <w:rPr>
          <w:sz w:val="26"/>
          <w:szCs w:val="26"/>
        </w:rPr>
        <w:t>euro. Pertanto:</w:t>
      </w:r>
    </w:p>
    <w:p w:rsidR="00EA6DAB" w:rsidRPr="00594227" w:rsidRDefault="00EA6DAB" w:rsidP="00380065">
      <w:pPr>
        <w:widowControl/>
        <w:ind w:left="426" w:right="-23"/>
        <w:jc w:val="both"/>
        <w:rPr>
          <w:sz w:val="16"/>
          <w:szCs w:val="16"/>
        </w:rPr>
      </w:pPr>
    </w:p>
    <w:p w:rsidR="00EA6DAB" w:rsidRPr="00A43738" w:rsidRDefault="00EA6DAB" w:rsidP="00A43738">
      <w:pPr>
        <w:widowControl/>
        <w:numPr>
          <w:ilvl w:val="0"/>
          <w:numId w:val="4"/>
        </w:numPr>
        <w:ind w:left="426" w:right="-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 i contratti di lavori, servizi e forniture, di importo superiore a 40.000, dovranno essere inviati: per i settori </w:t>
      </w:r>
      <w:r w:rsidRPr="001A1856">
        <w:rPr>
          <w:i/>
          <w:iCs/>
          <w:sz w:val="26"/>
          <w:szCs w:val="26"/>
        </w:rPr>
        <w:t>ordinari</w:t>
      </w:r>
      <w:r>
        <w:rPr>
          <w:sz w:val="26"/>
          <w:szCs w:val="26"/>
        </w:rPr>
        <w:t xml:space="preserve">, i dati relativi all’intero ciclo di vita dell’appalto; per i settori </w:t>
      </w:r>
      <w:r w:rsidRPr="001A1856">
        <w:rPr>
          <w:i/>
          <w:iCs/>
          <w:sz w:val="26"/>
          <w:szCs w:val="26"/>
        </w:rPr>
        <w:t>speciali</w:t>
      </w:r>
      <w:r>
        <w:rPr>
          <w:sz w:val="26"/>
          <w:szCs w:val="26"/>
        </w:rPr>
        <w:t xml:space="preserve"> fino all’aggiudicazione compresa, secondo le specifiche indicate nel richiamato Comunicato del 4 aprile 2008. Per le medesime fattispecie di importo inferiore </w:t>
      </w:r>
      <w:r w:rsidRPr="00344AA7">
        <w:rPr>
          <w:sz w:val="26"/>
          <w:szCs w:val="26"/>
        </w:rPr>
        <w:t>o uguale a 40.000 euro, sarà necessaria la sola acquisizione dello SmartCIG.</w:t>
      </w:r>
      <w:r>
        <w:rPr>
          <w:sz w:val="26"/>
          <w:szCs w:val="26"/>
        </w:rPr>
        <w:t xml:space="preserve"> </w:t>
      </w:r>
    </w:p>
    <w:p w:rsidR="00EA6DAB" w:rsidRPr="00594227" w:rsidRDefault="00EA6DAB" w:rsidP="00A023E8">
      <w:pPr>
        <w:rPr>
          <w:sz w:val="16"/>
          <w:szCs w:val="16"/>
        </w:rPr>
      </w:pPr>
    </w:p>
    <w:p w:rsidR="00EA6DAB" w:rsidRPr="001F4870" w:rsidRDefault="00EA6DAB" w:rsidP="00390A8B">
      <w:pPr>
        <w:widowControl/>
        <w:numPr>
          <w:ilvl w:val="0"/>
          <w:numId w:val="4"/>
        </w:numPr>
        <w:ind w:left="426" w:right="-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 i contratti </w:t>
      </w:r>
      <w:r w:rsidRPr="001A1856">
        <w:rPr>
          <w:i/>
          <w:iCs/>
          <w:sz w:val="26"/>
          <w:szCs w:val="26"/>
        </w:rPr>
        <w:t>parzialmente esclusi</w:t>
      </w:r>
      <w:r>
        <w:rPr>
          <w:sz w:val="26"/>
          <w:szCs w:val="26"/>
        </w:rPr>
        <w:t xml:space="preserve"> di cui artt. 19, 20, 21, 22, 23, 24 e 26 del DLgs</w:t>
      </w:r>
      <w:r w:rsidRPr="00FA76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163/2006 di importo superiore a 40.000 euro,  dovranno essere inviati i dati fino alla fase di aggiudicazione compresa, secondo le specifiche indicate nel Comunicato del 14 dicembre 2010. Per le medesime fattispecie di importo inferiore </w:t>
      </w:r>
      <w:r w:rsidRPr="001F4870">
        <w:rPr>
          <w:sz w:val="26"/>
          <w:szCs w:val="26"/>
        </w:rPr>
        <w:t>o uguale a 40.000 euro, sarà necessaria la sola acquisizione dello SmartCIG.</w:t>
      </w:r>
    </w:p>
    <w:p w:rsidR="00EA6DAB" w:rsidRPr="00594227" w:rsidRDefault="00EA6DAB" w:rsidP="00105171">
      <w:pPr>
        <w:pStyle w:val="ListParagraph"/>
        <w:rPr>
          <w:sz w:val="16"/>
          <w:szCs w:val="16"/>
        </w:rPr>
      </w:pPr>
    </w:p>
    <w:p w:rsidR="00EA6DAB" w:rsidRPr="00906500" w:rsidRDefault="00EA6DAB" w:rsidP="00906500">
      <w:pPr>
        <w:widowControl/>
        <w:numPr>
          <w:ilvl w:val="0"/>
          <w:numId w:val="4"/>
        </w:numPr>
        <w:ind w:left="426" w:right="-23"/>
        <w:jc w:val="both"/>
        <w:rPr>
          <w:sz w:val="26"/>
          <w:szCs w:val="26"/>
        </w:rPr>
      </w:pPr>
      <w:r>
        <w:rPr>
          <w:sz w:val="26"/>
          <w:szCs w:val="26"/>
        </w:rPr>
        <w:t>Per i contratti relativi alle fattispecie di seguito elencate, ferme restando le modalità di trasmissione dei dati di cui al</w:t>
      </w:r>
      <w:r w:rsidRPr="00380742">
        <w:rPr>
          <w:sz w:val="26"/>
          <w:szCs w:val="26"/>
        </w:rPr>
        <w:t xml:space="preserve"> </w:t>
      </w:r>
      <w:r>
        <w:rPr>
          <w:sz w:val="26"/>
          <w:szCs w:val="26"/>
        </w:rPr>
        <w:t>Comunicato</w:t>
      </w:r>
      <w:r w:rsidRPr="007B5258">
        <w:rPr>
          <w:sz w:val="26"/>
          <w:szCs w:val="26"/>
        </w:rPr>
        <w:t xml:space="preserve"> </w:t>
      </w:r>
      <w:r>
        <w:rPr>
          <w:sz w:val="26"/>
          <w:szCs w:val="26"/>
        </w:rPr>
        <w:t>del 14 dicembre 2010, si precisa che:</w:t>
      </w:r>
    </w:p>
    <w:p w:rsidR="00EA6DAB" w:rsidRPr="007B5258" w:rsidRDefault="00EA6DAB" w:rsidP="007B5258">
      <w:pPr>
        <w:widowControl/>
        <w:numPr>
          <w:ilvl w:val="0"/>
          <w:numId w:val="9"/>
        </w:numPr>
        <w:ind w:right="-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dati relativi agli </w:t>
      </w:r>
      <w:r w:rsidRPr="004A6FB6">
        <w:rPr>
          <w:i/>
          <w:iCs/>
          <w:sz w:val="26"/>
          <w:szCs w:val="26"/>
        </w:rPr>
        <w:t>accordi quadro e fattispecie consimili</w:t>
      </w:r>
      <w:r>
        <w:rPr>
          <w:sz w:val="26"/>
          <w:szCs w:val="26"/>
        </w:rPr>
        <w:t xml:space="preserve"> di importo superiore a 40.000 euro, dovranno essere comunicati relativamente alla fase di aggiudicazione ed eventuale stipula del contratto; </w:t>
      </w:r>
    </w:p>
    <w:p w:rsidR="00EA6DAB" w:rsidRPr="009E23FE" w:rsidRDefault="00EA6DAB" w:rsidP="003C2615">
      <w:pPr>
        <w:widowControl/>
        <w:numPr>
          <w:ilvl w:val="0"/>
          <w:numId w:val="9"/>
        </w:numPr>
        <w:ind w:right="-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dati relativi ai contratti </w:t>
      </w:r>
      <w:r w:rsidRPr="004A6FB6">
        <w:rPr>
          <w:i/>
          <w:iCs/>
          <w:sz w:val="26"/>
          <w:szCs w:val="26"/>
        </w:rPr>
        <w:t>discendenti dagli accordi quadro e fattispecie consimili</w:t>
      </w:r>
      <w:r>
        <w:rPr>
          <w:sz w:val="26"/>
          <w:szCs w:val="26"/>
        </w:rPr>
        <w:t xml:space="preserve"> di importo superiore a 40.000 euro, dovranno essere comunicati: per i settori ordinari e  speciali secondo le indicazioni di cui al punto 1; per i contratti parzialemnte esclusi, secondo le indicazioni di cui al punto 2. </w:t>
      </w:r>
    </w:p>
    <w:p w:rsidR="00EA6DAB" w:rsidRPr="007B3FC0" w:rsidRDefault="00EA6DAB" w:rsidP="003C2615">
      <w:pPr>
        <w:ind w:left="426" w:right="-23"/>
        <w:jc w:val="both"/>
        <w:rPr>
          <w:sz w:val="26"/>
          <w:szCs w:val="26"/>
        </w:rPr>
      </w:pPr>
      <w:r w:rsidRPr="00344AA7">
        <w:rPr>
          <w:sz w:val="26"/>
          <w:szCs w:val="26"/>
        </w:rPr>
        <w:t>Per le medesime fattispecie di importo inferiore o uguale a 40.000 euro, sarà necessaria la sola acquisizione dello SmartCIG.</w:t>
      </w:r>
    </w:p>
    <w:p w:rsidR="00EA6DAB" w:rsidRPr="00594227" w:rsidRDefault="00EA6DAB" w:rsidP="00390A8B">
      <w:pPr>
        <w:ind w:right="-23"/>
        <w:jc w:val="both"/>
        <w:rPr>
          <w:sz w:val="16"/>
          <w:szCs w:val="16"/>
        </w:rPr>
      </w:pPr>
      <w:r w:rsidRPr="007B3FC0">
        <w:rPr>
          <w:sz w:val="26"/>
          <w:szCs w:val="26"/>
        </w:rPr>
        <w:t xml:space="preserve"> </w:t>
      </w:r>
    </w:p>
    <w:p w:rsidR="00EA6DAB" w:rsidRPr="00594227" w:rsidRDefault="00EA6DAB" w:rsidP="00390A8B">
      <w:pPr>
        <w:ind w:right="-23"/>
        <w:jc w:val="both"/>
        <w:rPr>
          <w:sz w:val="16"/>
          <w:szCs w:val="16"/>
        </w:rPr>
      </w:pPr>
    </w:p>
    <w:p w:rsidR="00EA6DAB" w:rsidRPr="007B3FC0" w:rsidRDefault="00EA6DAB" w:rsidP="00390A8B">
      <w:pPr>
        <w:ind w:right="-23"/>
        <w:jc w:val="both"/>
        <w:rPr>
          <w:sz w:val="26"/>
          <w:szCs w:val="26"/>
        </w:rPr>
      </w:pPr>
      <w:r w:rsidRPr="007B3FC0">
        <w:rPr>
          <w:sz w:val="26"/>
          <w:szCs w:val="26"/>
        </w:rPr>
        <w:t xml:space="preserve">Roma, </w:t>
      </w:r>
    </w:p>
    <w:p w:rsidR="00EA6DAB" w:rsidRPr="004022A9" w:rsidRDefault="00EA6DAB" w:rsidP="00C52C4E">
      <w:pPr>
        <w:spacing w:before="100" w:beforeAutospacing="1" w:after="100" w:afterAutospacing="1"/>
        <w:jc w:val="right"/>
      </w:pPr>
      <w:r w:rsidRPr="007B3FC0">
        <w:rPr>
          <w:sz w:val="26"/>
          <w:szCs w:val="26"/>
        </w:rPr>
        <w:t xml:space="preserve"> </w:t>
      </w:r>
      <w:r w:rsidRPr="004022A9">
        <w:t>IL PRESIDENTE</w:t>
      </w:r>
      <w:r w:rsidRPr="004022A9">
        <w:br/>
      </w:r>
      <w:r>
        <w:t>Sergio Santoro</w:t>
      </w:r>
    </w:p>
    <w:p w:rsidR="00EA6DAB" w:rsidRPr="004022A9" w:rsidRDefault="00EA6DAB" w:rsidP="00034841">
      <w:pPr>
        <w:spacing w:before="100" w:beforeAutospacing="1" w:after="100" w:afterAutospacing="1"/>
      </w:pPr>
    </w:p>
    <w:sectPr w:rsidR="00EA6DAB" w:rsidRPr="004022A9" w:rsidSect="00630A51">
      <w:footerReference w:type="default" r:id="rId7"/>
      <w:headerReference w:type="first" r:id="rId8"/>
      <w:footerReference w:type="first" r:id="rId9"/>
      <w:pgSz w:w="11906" w:h="16838"/>
      <w:pgMar w:top="2157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AB" w:rsidRDefault="00EA6DAB" w:rsidP="007754EE">
      <w:r>
        <w:separator/>
      </w:r>
    </w:p>
  </w:endnote>
  <w:endnote w:type="continuationSeparator" w:id="0">
    <w:p w:rsidR="00EA6DAB" w:rsidRDefault="00EA6DAB" w:rsidP="0077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unstler Scrip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497" w:type="dxa"/>
      <w:tblBorders>
        <w:top w:val="single" w:sz="6" w:space="0" w:color="A6A6A6"/>
      </w:tblBorders>
      <w:tblLook w:val="0000"/>
    </w:tblPr>
    <w:tblGrid>
      <w:gridCol w:w="2732"/>
      <w:gridCol w:w="4110"/>
      <w:gridCol w:w="2124"/>
    </w:tblGrid>
    <w:tr w:rsidR="00EA6DAB" w:rsidRPr="00841CCF">
      <w:trPr>
        <w:jc w:val="center"/>
      </w:trPr>
      <w:tc>
        <w:tcPr>
          <w:tcW w:w="2732" w:type="dxa"/>
          <w:tcBorders>
            <w:top w:val="single" w:sz="6" w:space="0" w:color="A6A6A6"/>
          </w:tcBorders>
          <w:vAlign w:val="center"/>
        </w:tcPr>
        <w:p w:rsidR="00EA6DAB" w:rsidRPr="00841CCF" w:rsidRDefault="00EA6DAB" w:rsidP="00F40FA5">
          <w:pPr>
            <w:keepNext/>
            <w:keepLines/>
            <w:tabs>
              <w:tab w:val="left" w:pos="9896"/>
            </w:tabs>
            <w:rPr>
              <w:rFonts w:ascii="Calibri" w:hAnsi="Calibri" w:cs="Calibri"/>
              <w:color w:val="2F4B57"/>
              <w:sz w:val="18"/>
              <w:szCs w:val="18"/>
            </w:rPr>
          </w:pPr>
        </w:p>
      </w:tc>
      <w:tc>
        <w:tcPr>
          <w:tcW w:w="4110" w:type="dxa"/>
          <w:tcBorders>
            <w:top w:val="single" w:sz="6" w:space="0" w:color="A6A6A6"/>
          </w:tcBorders>
          <w:vAlign w:val="center"/>
        </w:tcPr>
        <w:p w:rsidR="00EA6DAB" w:rsidRPr="00841CCF" w:rsidRDefault="00EA6DAB" w:rsidP="00F40FA5">
          <w:pPr>
            <w:keepNext/>
            <w:keepLines/>
            <w:tabs>
              <w:tab w:val="left" w:pos="9896"/>
            </w:tabs>
            <w:jc w:val="center"/>
            <w:rPr>
              <w:rFonts w:ascii="Calibri" w:hAnsi="Calibri" w:cs="Calibri"/>
              <w:i/>
              <w:iCs/>
              <w:noProof w:val="0"/>
              <w:color w:val="2F4B57"/>
              <w:spacing w:val="2"/>
              <w:sz w:val="18"/>
              <w:szCs w:val="18"/>
            </w:rPr>
          </w:pPr>
          <w:r w:rsidRPr="00841CCF">
            <w:rPr>
              <w:rFonts w:ascii="Calibri" w:hAnsi="Calibri" w:cs="Calibri"/>
              <w:color w:val="2F4B57"/>
              <w:sz w:val="18"/>
              <w:szCs w:val="18"/>
            </w:rPr>
            <w:t xml:space="preserve">    </w:t>
          </w:r>
          <w:r w:rsidRPr="00841CCF">
            <w:rPr>
              <w:rFonts w:ascii="Calibri" w:hAnsi="Calibri" w:cs="Calibri"/>
              <w:color w:val="2F4B57"/>
              <w:sz w:val="18"/>
              <w:szCs w:val="18"/>
            </w:rPr>
            <w:br/>
          </w:r>
        </w:p>
      </w:tc>
      <w:tc>
        <w:tcPr>
          <w:tcW w:w="2124" w:type="dxa"/>
          <w:tcBorders>
            <w:top w:val="single" w:sz="6" w:space="0" w:color="A6A6A6"/>
          </w:tcBorders>
          <w:vAlign w:val="center"/>
        </w:tcPr>
        <w:p w:rsidR="00EA6DAB" w:rsidRPr="00841CCF" w:rsidRDefault="00EA6DAB" w:rsidP="00F64393">
          <w:pPr>
            <w:keepNext/>
            <w:keepLines/>
            <w:tabs>
              <w:tab w:val="left" w:pos="9896"/>
            </w:tabs>
            <w:jc w:val="right"/>
            <w:rPr>
              <w:rFonts w:ascii="Calibri" w:hAnsi="Calibri" w:cs="Calibri"/>
              <w:color w:val="2F4B57"/>
              <w:sz w:val="18"/>
              <w:szCs w:val="18"/>
            </w:rPr>
          </w:pPr>
          <w:r w:rsidRPr="00841CCF">
            <w:rPr>
              <w:rFonts w:ascii="Calibri" w:hAnsi="Calibri" w:cs="Calibri"/>
              <w:color w:val="2F4B57"/>
              <w:sz w:val="18"/>
              <w:szCs w:val="18"/>
            </w:rPr>
            <w:fldChar w:fldCharType="begin"/>
          </w:r>
          <w:r w:rsidRPr="00841CCF">
            <w:rPr>
              <w:rFonts w:ascii="Calibri" w:hAnsi="Calibri" w:cs="Calibri"/>
              <w:color w:val="2F4B57"/>
              <w:sz w:val="18"/>
              <w:szCs w:val="18"/>
            </w:rPr>
            <w:instrText xml:space="preserve"> PAGE    \* MERGEFORMAT </w:instrText>
          </w:r>
          <w:r w:rsidRPr="00841CCF">
            <w:rPr>
              <w:rFonts w:ascii="Calibri" w:hAnsi="Calibri" w:cs="Calibri"/>
              <w:color w:val="2F4B57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color w:val="2F4B57"/>
              <w:sz w:val="18"/>
              <w:szCs w:val="18"/>
            </w:rPr>
            <w:t>2</w:t>
          </w:r>
          <w:r w:rsidRPr="00841CCF">
            <w:rPr>
              <w:rFonts w:ascii="Calibri" w:hAnsi="Calibri" w:cs="Calibri"/>
              <w:color w:val="2F4B57"/>
              <w:sz w:val="18"/>
              <w:szCs w:val="18"/>
            </w:rPr>
            <w:fldChar w:fldCharType="end"/>
          </w:r>
          <w:r w:rsidRPr="00841CCF">
            <w:rPr>
              <w:rFonts w:ascii="Calibri" w:hAnsi="Calibri" w:cs="Calibri"/>
              <w:color w:val="2F4B57"/>
              <w:sz w:val="18"/>
              <w:szCs w:val="18"/>
            </w:rPr>
            <w:t xml:space="preserve"> di </w:t>
          </w:r>
          <w:fldSimple w:instr=" NUMPAGES  \* Arabic  \* MERGEFORMAT ">
            <w:r w:rsidRPr="00323E95">
              <w:rPr>
                <w:rFonts w:ascii="Calibri" w:hAnsi="Calibri" w:cs="Calibri"/>
                <w:color w:val="2F4B57"/>
                <w:sz w:val="18"/>
                <w:szCs w:val="18"/>
              </w:rPr>
              <w:t>2</w:t>
            </w:r>
          </w:fldSimple>
        </w:p>
      </w:tc>
    </w:tr>
  </w:tbl>
  <w:p w:rsidR="00EA6DAB" w:rsidRPr="00813556" w:rsidRDefault="00EA6DAB" w:rsidP="005F6B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AB" w:rsidRDefault="00EA6DAB"/>
  <w:tbl>
    <w:tblPr>
      <w:tblW w:w="0" w:type="auto"/>
      <w:tblLook w:val="00A0"/>
    </w:tblPr>
    <w:tblGrid>
      <w:gridCol w:w="3259"/>
      <w:gridCol w:w="3259"/>
      <w:gridCol w:w="3260"/>
    </w:tblGrid>
    <w:tr w:rsidR="00EA6DAB" w:rsidRPr="00461A56">
      <w:tc>
        <w:tcPr>
          <w:tcW w:w="3259" w:type="dxa"/>
        </w:tcPr>
        <w:p w:rsidR="00EA6DAB" w:rsidRPr="005B2E4C" w:rsidRDefault="00EA6DAB"/>
      </w:tc>
      <w:tc>
        <w:tcPr>
          <w:tcW w:w="3259" w:type="dxa"/>
        </w:tcPr>
        <w:p w:rsidR="00EA6DAB" w:rsidRPr="005B2E4C" w:rsidRDefault="00EA6DAB"/>
      </w:tc>
      <w:tc>
        <w:tcPr>
          <w:tcW w:w="3260" w:type="dxa"/>
        </w:tcPr>
        <w:p w:rsidR="00EA6DAB" w:rsidRPr="005B2E4C" w:rsidRDefault="00EA6DAB"/>
      </w:tc>
    </w:tr>
  </w:tbl>
  <w:p w:rsidR="00EA6DAB" w:rsidRDefault="00EA6D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AB" w:rsidRDefault="00EA6DAB" w:rsidP="007754EE">
      <w:r>
        <w:separator/>
      </w:r>
    </w:p>
  </w:footnote>
  <w:footnote w:type="continuationSeparator" w:id="0">
    <w:p w:rsidR="00EA6DAB" w:rsidRDefault="00EA6DAB" w:rsidP="00775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AB" w:rsidRDefault="00EA6DAB"/>
  <w:p w:rsidR="00EA6DAB" w:rsidRDefault="00EA6DA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0" o:spid="_x0000_s2049" type="#_x0000_t75" alt="Logo AVCP.jpg" style="position:absolute;margin-left:116.6pt;margin-top:3.15pt;width:232.8pt;height:113.4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2A2"/>
    <w:multiLevelType w:val="hybridMultilevel"/>
    <w:tmpl w:val="93327348"/>
    <w:lvl w:ilvl="0" w:tplc="F22C44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1629B2"/>
    <w:multiLevelType w:val="hybridMultilevel"/>
    <w:tmpl w:val="9E92F86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C4E"/>
    <w:multiLevelType w:val="hybridMultilevel"/>
    <w:tmpl w:val="93327348"/>
    <w:lvl w:ilvl="0" w:tplc="F22C44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CB3262"/>
    <w:multiLevelType w:val="hybridMultilevel"/>
    <w:tmpl w:val="0ACCAC34"/>
    <w:lvl w:ilvl="0" w:tplc="8CA418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D9A6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F660B"/>
    <w:multiLevelType w:val="hybridMultilevel"/>
    <w:tmpl w:val="019ACAB4"/>
    <w:lvl w:ilvl="0" w:tplc="16BA2562">
      <w:start w:val="1"/>
      <w:numFmt w:val="lowerLetter"/>
      <w:pStyle w:val="Heading2"/>
      <w:lvlText w:val="%1. 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23045"/>
    <w:multiLevelType w:val="hybridMultilevel"/>
    <w:tmpl w:val="6E7026A2"/>
    <w:lvl w:ilvl="0" w:tplc="9EE2D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635B6D"/>
    <w:multiLevelType w:val="hybridMultilevel"/>
    <w:tmpl w:val="8CC6FFD2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D9A6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B7C6D"/>
    <w:multiLevelType w:val="hybridMultilevel"/>
    <w:tmpl w:val="827084C8"/>
    <w:lvl w:ilvl="0" w:tplc="8CA418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9464CFD"/>
    <w:multiLevelType w:val="hybridMultilevel"/>
    <w:tmpl w:val="A76C77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08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E32"/>
    <w:rsid w:val="000009DE"/>
    <w:rsid w:val="000152DF"/>
    <w:rsid w:val="00022587"/>
    <w:rsid w:val="00022A6F"/>
    <w:rsid w:val="00026101"/>
    <w:rsid w:val="00031F58"/>
    <w:rsid w:val="00034841"/>
    <w:rsid w:val="00035154"/>
    <w:rsid w:val="0004247B"/>
    <w:rsid w:val="000439D8"/>
    <w:rsid w:val="00051858"/>
    <w:rsid w:val="000660E1"/>
    <w:rsid w:val="00072885"/>
    <w:rsid w:val="00074E0C"/>
    <w:rsid w:val="00084462"/>
    <w:rsid w:val="00097336"/>
    <w:rsid w:val="000A4B8F"/>
    <w:rsid w:val="000A568F"/>
    <w:rsid w:val="000B2337"/>
    <w:rsid w:val="000B6B52"/>
    <w:rsid w:val="000C2EAD"/>
    <w:rsid w:val="000C6BED"/>
    <w:rsid w:val="000D240A"/>
    <w:rsid w:val="000D715E"/>
    <w:rsid w:val="000E1194"/>
    <w:rsid w:val="000E4788"/>
    <w:rsid w:val="000F1787"/>
    <w:rsid w:val="000F57E6"/>
    <w:rsid w:val="00100FAC"/>
    <w:rsid w:val="00104EBD"/>
    <w:rsid w:val="00105171"/>
    <w:rsid w:val="00105C32"/>
    <w:rsid w:val="00105D3B"/>
    <w:rsid w:val="00107D08"/>
    <w:rsid w:val="00124790"/>
    <w:rsid w:val="00134498"/>
    <w:rsid w:val="0014171C"/>
    <w:rsid w:val="00142F41"/>
    <w:rsid w:val="001464B2"/>
    <w:rsid w:val="00146E4A"/>
    <w:rsid w:val="001552DD"/>
    <w:rsid w:val="00167B01"/>
    <w:rsid w:val="0017154A"/>
    <w:rsid w:val="00190D57"/>
    <w:rsid w:val="001930DE"/>
    <w:rsid w:val="00194336"/>
    <w:rsid w:val="00195127"/>
    <w:rsid w:val="001A1856"/>
    <w:rsid w:val="001A7384"/>
    <w:rsid w:val="001B5988"/>
    <w:rsid w:val="001C0054"/>
    <w:rsid w:val="001D78E2"/>
    <w:rsid w:val="001F4870"/>
    <w:rsid w:val="001F4E76"/>
    <w:rsid w:val="00202BB8"/>
    <w:rsid w:val="0020312D"/>
    <w:rsid w:val="00205C67"/>
    <w:rsid w:val="00207C2B"/>
    <w:rsid w:val="00212E47"/>
    <w:rsid w:val="002172CD"/>
    <w:rsid w:val="00231651"/>
    <w:rsid w:val="00241E16"/>
    <w:rsid w:val="00247241"/>
    <w:rsid w:val="00254AB7"/>
    <w:rsid w:val="00256889"/>
    <w:rsid w:val="00260C01"/>
    <w:rsid w:val="00262A50"/>
    <w:rsid w:val="00262D21"/>
    <w:rsid w:val="0027434D"/>
    <w:rsid w:val="00284281"/>
    <w:rsid w:val="002846C1"/>
    <w:rsid w:val="00287271"/>
    <w:rsid w:val="00295A9B"/>
    <w:rsid w:val="002A5616"/>
    <w:rsid w:val="002B5824"/>
    <w:rsid w:val="002B727A"/>
    <w:rsid w:val="002C242F"/>
    <w:rsid w:val="002C5D6B"/>
    <w:rsid w:val="002D0368"/>
    <w:rsid w:val="002D03B0"/>
    <w:rsid w:val="002D5026"/>
    <w:rsid w:val="002D5329"/>
    <w:rsid w:val="002D7988"/>
    <w:rsid w:val="002E04AD"/>
    <w:rsid w:val="002E4876"/>
    <w:rsid w:val="002E71F0"/>
    <w:rsid w:val="002F3420"/>
    <w:rsid w:val="002F7F65"/>
    <w:rsid w:val="00302732"/>
    <w:rsid w:val="00307B1C"/>
    <w:rsid w:val="00314537"/>
    <w:rsid w:val="00314F5E"/>
    <w:rsid w:val="00316731"/>
    <w:rsid w:val="00323E95"/>
    <w:rsid w:val="00332134"/>
    <w:rsid w:val="003335E2"/>
    <w:rsid w:val="00344AA7"/>
    <w:rsid w:val="00352F6D"/>
    <w:rsid w:val="00364B53"/>
    <w:rsid w:val="00374E16"/>
    <w:rsid w:val="00380065"/>
    <w:rsid w:val="00380742"/>
    <w:rsid w:val="0038444D"/>
    <w:rsid w:val="00384F15"/>
    <w:rsid w:val="00386210"/>
    <w:rsid w:val="00387F82"/>
    <w:rsid w:val="00390A8B"/>
    <w:rsid w:val="00395C55"/>
    <w:rsid w:val="00396FE7"/>
    <w:rsid w:val="00397CEC"/>
    <w:rsid w:val="003A5B93"/>
    <w:rsid w:val="003A5E32"/>
    <w:rsid w:val="003A65B4"/>
    <w:rsid w:val="003A72EF"/>
    <w:rsid w:val="003B0AD0"/>
    <w:rsid w:val="003B59F4"/>
    <w:rsid w:val="003C2615"/>
    <w:rsid w:val="003C362E"/>
    <w:rsid w:val="003C40C5"/>
    <w:rsid w:val="003F6646"/>
    <w:rsid w:val="004022A9"/>
    <w:rsid w:val="004167F8"/>
    <w:rsid w:val="00424180"/>
    <w:rsid w:val="00436B08"/>
    <w:rsid w:val="00437330"/>
    <w:rsid w:val="004477C8"/>
    <w:rsid w:val="00451703"/>
    <w:rsid w:val="00452770"/>
    <w:rsid w:val="00455E36"/>
    <w:rsid w:val="00457CCA"/>
    <w:rsid w:val="00461A56"/>
    <w:rsid w:val="004804C7"/>
    <w:rsid w:val="00483AEF"/>
    <w:rsid w:val="00484DF2"/>
    <w:rsid w:val="00487B34"/>
    <w:rsid w:val="00487F1C"/>
    <w:rsid w:val="004A19A9"/>
    <w:rsid w:val="004A6FB6"/>
    <w:rsid w:val="004B5548"/>
    <w:rsid w:val="004C0364"/>
    <w:rsid w:val="004C57A3"/>
    <w:rsid w:val="004E05A4"/>
    <w:rsid w:val="004F5EF3"/>
    <w:rsid w:val="004F7593"/>
    <w:rsid w:val="00500A7A"/>
    <w:rsid w:val="0050471C"/>
    <w:rsid w:val="00513B18"/>
    <w:rsid w:val="00516CD1"/>
    <w:rsid w:val="00521445"/>
    <w:rsid w:val="00523E7A"/>
    <w:rsid w:val="00526792"/>
    <w:rsid w:val="005310D0"/>
    <w:rsid w:val="00560FF3"/>
    <w:rsid w:val="0056275B"/>
    <w:rsid w:val="0056578A"/>
    <w:rsid w:val="00566AB2"/>
    <w:rsid w:val="00576DD1"/>
    <w:rsid w:val="00581F9A"/>
    <w:rsid w:val="0058236F"/>
    <w:rsid w:val="005826A2"/>
    <w:rsid w:val="00586408"/>
    <w:rsid w:val="00587469"/>
    <w:rsid w:val="00590672"/>
    <w:rsid w:val="0059243E"/>
    <w:rsid w:val="00594227"/>
    <w:rsid w:val="005B28D0"/>
    <w:rsid w:val="005B2E4C"/>
    <w:rsid w:val="005B7085"/>
    <w:rsid w:val="005C0EF0"/>
    <w:rsid w:val="005C3D84"/>
    <w:rsid w:val="005C4819"/>
    <w:rsid w:val="005C7CC7"/>
    <w:rsid w:val="005D6188"/>
    <w:rsid w:val="005D72F6"/>
    <w:rsid w:val="005F6B2F"/>
    <w:rsid w:val="005F7266"/>
    <w:rsid w:val="006003BC"/>
    <w:rsid w:val="00601693"/>
    <w:rsid w:val="00611C1A"/>
    <w:rsid w:val="00613261"/>
    <w:rsid w:val="00613BB4"/>
    <w:rsid w:val="00615039"/>
    <w:rsid w:val="00617698"/>
    <w:rsid w:val="00624EC7"/>
    <w:rsid w:val="0063060A"/>
    <w:rsid w:val="00630A51"/>
    <w:rsid w:val="0063151D"/>
    <w:rsid w:val="00634AF8"/>
    <w:rsid w:val="00636324"/>
    <w:rsid w:val="00646C92"/>
    <w:rsid w:val="00653101"/>
    <w:rsid w:val="00660EA2"/>
    <w:rsid w:val="006624ED"/>
    <w:rsid w:val="00675D11"/>
    <w:rsid w:val="006821C4"/>
    <w:rsid w:val="006A2460"/>
    <w:rsid w:val="006A5498"/>
    <w:rsid w:val="006A7A04"/>
    <w:rsid w:val="006B0B44"/>
    <w:rsid w:val="006E3820"/>
    <w:rsid w:val="006E4A40"/>
    <w:rsid w:val="006E6083"/>
    <w:rsid w:val="006F4713"/>
    <w:rsid w:val="006F5575"/>
    <w:rsid w:val="006F7274"/>
    <w:rsid w:val="007022CD"/>
    <w:rsid w:val="00710E96"/>
    <w:rsid w:val="00711F80"/>
    <w:rsid w:val="0072451D"/>
    <w:rsid w:val="00725179"/>
    <w:rsid w:val="007411D3"/>
    <w:rsid w:val="00743368"/>
    <w:rsid w:val="007449F9"/>
    <w:rsid w:val="00750B16"/>
    <w:rsid w:val="0075535A"/>
    <w:rsid w:val="0075644B"/>
    <w:rsid w:val="007565E5"/>
    <w:rsid w:val="00761338"/>
    <w:rsid w:val="00761364"/>
    <w:rsid w:val="0077154A"/>
    <w:rsid w:val="00773E70"/>
    <w:rsid w:val="007754EE"/>
    <w:rsid w:val="00782CEC"/>
    <w:rsid w:val="00793A7F"/>
    <w:rsid w:val="007A1BB4"/>
    <w:rsid w:val="007A411D"/>
    <w:rsid w:val="007A5A32"/>
    <w:rsid w:val="007B3FC0"/>
    <w:rsid w:val="007B5258"/>
    <w:rsid w:val="007C40A0"/>
    <w:rsid w:val="007D22CB"/>
    <w:rsid w:val="007E0F23"/>
    <w:rsid w:val="007E324C"/>
    <w:rsid w:val="007E76AF"/>
    <w:rsid w:val="007E7A7C"/>
    <w:rsid w:val="007E7B9C"/>
    <w:rsid w:val="007F275D"/>
    <w:rsid w:val="007F61F0"/>
    <w:rsid w:val="00812DEE"/>
    <w:rsid w:val="00813556"/>
    <w:rsid w:val="00822ADB"/>
    <w:rsid w:val="0082418B"/>
    <w:rsid w:val="008357E8"/>
    <w:rsid w:val="00837B1E"/>
    <w:rsid w:val="00841CCF"/>
    <w:rsid w:val="00843094"/>
    <w:rsid w:val="00843FA2"/>
    <w:rsid w:val="00855007"/>
    <w:rsid w:val="00855DA3"/>
    <w:rsid w:val="008636B2"/>
    <w:rsid w:val="00864646"/>
    <w:rsid w:val="00865B88"/>
    <w:rsid w:val="00867765"/>
    <w:rsid w:val="00876202"/>
    <w:rsid w:val="00883D6C"/>
    <w:rsid w:val="00886390"/>
    <w:rsid w:val="008866AE"/>
    <w:rsid w:val="0088748A"/>
    <w:rsid w:val="00894208"/>
    <w:rsid w:val="008A17A5"/>
    <w:rsid w:val="008A2921"/>
    <w:rsid w:val="008B1313"/>
    <w:rsid w:val="008B29DA"/>
    <w:rsid w:val="008B5353"/>
    <w:rsid w:val="008B689E"/>
    <w:rsid w:val="008C3128"/>
    <w:rsid w:val="008C41C1"/>
    <w:rsid w:val="008D0D4A"/>
    <w:rsid w:val="008E2D18"/>
    <w:rsid w:val="008E5F5D"/>
    <w:rsid w:val="0090185D"/>
    <w:rsid w:val="00904FE2"/>
    <w:rsid w:val="00906500"/>
    <w:rsid w:val="00906DC1"/>
    <w:rsid w:val="00914AFB"/>
    <w:rsid w:val="00940620"/>
    <w:rsid w:val="00943D4A"/>
    <w:rsid w:val="00945D83"/>
    <w:rsid w:val="009522D3"/>
    <w:rsid w:val="00962FEB"/>
    <w:rsid w:val="0096482F"/>
    <w:rsid w:val="00971B82"/>
    <w:rsid w:val="009869A8"/>
    <w:rsid w:val="00992CE8"/>
    <w:rsid w:val="00995C91"/>
    <w:rsid w:val="009A180C"/>
    <w:rsid w:val="009C4D15"/>
    <w:rsid w:val="009C5E8F"/>
    <w:rsid w:val="009C6B54"/>
    <w:rsid w:val="009C6C77"/>
    <w:rsid w:val="009C7910"/>
    <w:rsid w:val="009D10DF"/>
    <w:rsid w:val="009D1F53"/>
    <w:rsid w:val="009D2E6F"/>
    <w:rsid w:val="009D462A"/>
    <w:rsid w:val="009D573E"/>
    <w:rsid w:val="009D7992"/>
    <w:rsid w:val="009E19CB"/>
    <w:rsid w:val="009E23FE"/>
    <w:rsid w:val="009E3B91"/>
    <w:rsid w:val="00A01972"/>
    <w:rsid w:val="00A023E8"/>
    <w:rsid w:val="00A0740E"/>
    <w:rsid w:val="00A140C6"/>
    <w:rsid w:val="00A21F2D"/>
    <w:rsid w:val="00A22BB0"/>
    <w:rsid w:val="00A25C14"/>
    <w:rsid w:val="00A27D3B"/>
    <w:rsid w:val="00A32FF8"/>
    <w:rsid w:val="00A3688B"/>
    <w:rsid w:val="00A43738"/>
    <w:rsid w:val="00A44D00"/>
    <w:rsid w:val="00A45BEE"/>
    <w:rsid w:val="00A60A9D"/>
    <w:rsid w:val="00A61427"/>
    <w:rsid w:val="00A71DAC"/>
    <w:rsid w:val="00A7420C"/>
    <w:rsid w:val="00A85958"/>
    <w:rsid w:val="00A9288A"/>
    <w:rsid w:val="00A95CC9"/>
    <w:rsid w:val="00AA3BF4"/>
    <w:rsid w:val="00AA5891"/>
    <w:rsid w:val="00AB44C8"/>
    <w:rsid w:val="00AB4694"/>
    <w:rsid w:val="00AB7F0F"/>
    <w:rsid w:val="00AC4C99"/>
    <w:rsid w:val="00AD13CC"/>
    <w:rsid w:val="00AF5DB4"/>
    <w:rsid w:val="00B06386"/>
    <w:rsid w:val="00B24C66"/>
    <w:rsid w:val="00B47626"/>
    <w:rsid w:val="00B563F8"/>
    <w:rsid w:val="00B60EBD"/>
    <w:rsid w:val="00B61F99"/>
    <w:rsid w:val="00B81B7F"/>
    <w:rsid w:val="00B81BEA"/>
    <w:rsid w:val="00B84C8B"/>
    <w:rsid w:val="00B923BB"/>
    <w:rsid w:val="00B9659B"/>
    <w:rsid w:val="00BA5354"/>
    <w:rsid w:val="00BA5B5A"/>
    <w:rsid w:val="00BC4491"/>
    <w:rsid w:val="00BD161D"/>
    <w:rsid w:val="00BF199C"/>
    <w:rsid w:val="00BF42C3"/>
    <w:rsid w:val="00C02E52"/>
    <w:rsid w:val="00C078B6"/>
    <w:rsid w:val="00C07D0C"/>
    <w:rsid w:val="00C12B02"/>
    <w:rsid w:val="00C31A50"/>
    <w:rsid w:val="00C33CAC"/>
    <w:rsid w:val="00C37898"/>
    <w:rsid w:val="00C45277"/>
    <w:rsid w:val="00C45D5D"/>
    <w:rsid w:val="00C51911"/>
    <w:rsid w:val="00C52C4E"/>
    <w:rsid w:val="00C53BF2"/>
    <w:rsid w:val="00C55989"/>
    <w:rsid w:val="00C61A35"/>
    <w:rsid w:val="00C63B61"/>
    <w:rsid w:val="00C777D9"/>
    <w:rsid w:val="00C816C7"/>
    <w:rsid w:val="00C839FD"/>
    <w:rsid w:val="00C84F1D"/>
    <w:rsid w:val="00C8630D"/>
    <w:rsid w:val="00C908FE"/>
    <w:rsid w:val="00CA1363"/>
    <w:rsid w:val="00CA2B83"/>
    <w:rsid w:val="00CA61D3"/>
    <w:rsid w:val="00CB086C"/>
    <w:rsid w:val="00CC6CCA"/>
    <w:rsid w:val="00CC7411"/>
    <w:rsid w:val="00CD44A3"/>
    <w:rsid w:val="00CE068D"/>
    <w:rsid w:val="00CE5EEC"/>
    <w:rsid w:val="00CF0524"/>
    <w:rsid w:val="00CF6BAD"/>
    <w:rsid w:val="00D03CC6"/>
    <w:rsid w:val="00D03CF6"/>
    <w:rsid w:val="00D042DF"/>
    <w:rsid w:val="00D06CCB"/>
    <w:rsid w:val="00D23530"/>
    <w:rsid w:val="00D249E6"/>
    <w:rsid w:val="00D26E7C"/>
    <w:rsid w:val="00D3392F"/>
    <w:rsid w:val="00D35704"/>
    <w:rsid w:val="00D418A8"/>
    <w:rsid w:val="00D45D8C"/>
    <w:rsid w:val="00D525D0"/>
    <w:rsid w:val="00D56C3F"/>
    <w:rsid w:val="00D60116"/>
    <w:rsid w:val="00D67AA7"/>
    <w:rsid w:val="00D82450"/>
    <w:rsid w:val="00D8280C"/>
    <w:rsid w:val="00D84FD6"/>
    <w:rsid w:val="00D91A6D"/>
    <w:rsid w:val="00D958F9"/>
    <w:rsid w:val="00D9700A"/>
    <w:rsid w:val="00DA423C"/>
    <w:rsid w:val="00DB70BD"/>
    <w:rsid w:val="00DE06AB"/>
    <w:rsid w:val="00DE299E"/>
    <w:rsid w:val="00DE36F8"/>
    <w:rsid w:val="00DE4933"/>
    <w:rsid w:val="00DE672D"/>
    <w:rsid w:val="00DF1AA4"/>
    <w:rsid w:val="00DF2746"/>
    <w:rsid w:val="00DF72A1"/>
    <w:rsid w:val="00E00E1C"/>
    <w:rsid w:val="00E21F3A"/>
    <w:rsid w:val="00E326E0"/>
    <w:rsid w:val="00E51EAE"/>
    <w:rsid w:val="00E579E2"/>
    <w:rsid w:val="00E70A92"/>
    <w:rsid w:val="00E764F0"/>
    <w:rsid w:val="00E921F9"/>
    <w:rsid w:val="00EA5C7F"/>
    <w:rsid w:val="00EA6DAB"/>
    <w:rsid w:val="00EC6DD9"/>
    <w:rsid w:val="00ED38BB"/>
    <w:rsid w:val="00ED63B0"/>
    <w:rsid w:val="00EE359B"/>
    <w:rsid w:val="00EE7F03"/>
    <w:rsid w:val="00F07BEB"/>
    <w:rsid w:val="00F31161"/>
    <w:rsid w:val="00F35E67"/>
    <w:rsid w:val="00F367F0"/>
    <w:rsid w:val="00F40FA5"/>
    <w:rsid w:val="00F4625E"/>
    <w:rsid w:val="00F50C27"/>
    <w:rsid w:val="00F512C4"/>
    <w:rsid w:val="00F531BC"/>
    <w:rsid w:val="00F53A5E"/>
    <w:rsid w:val="00F5639F"/>
    <w:rsid w:val="00F56AF8"/>
    <w:rsid w:val="00F62B59"/>
    <w:rsid w:val="00F64393"/>
    <w:rsid w:val="00F70215"/>
    <w:rsid w:val="00F7091B"/>
    <w:rsid w:val="00F73E18"/>
    <w:rsid w:val="00F83A48"/>
    <w:rsid w:val="00FA6F16"/>
    <w:rsid w:val="00FA7681"/>
    <w:rsid w:val="00FB31F1"/>
    <w:rsid w:val="00FB609C"/>
    <w:rsid w:val="00FB60A1"/>
    <w:rsid w:val="00FB7A97"/>
    <w:rsid w:val="00FD196A"/>
    <w:rsid w:val="00FD2058"/>
    <w:rsid w:val="00FD57EF"/>
    <w:rsid w:val="00FE0965"/>
    <w:rsid w:val="00FE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53"/>
    <w:pPr>
      <w:widowControl w:val="0"/>
    </w:pPr>
    <w:rPr>
      <w:noProof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64B53"/>
    <w:pPr>
      <w:keepNext/>
      <w:pBdr>
        <w:bottom w:val="single" w:sz="4" w:space="1" w:color="FFFFFF"/>
      </w:pBdr>
      <w:spacing w:before="240" w:after="60"/>
      <w:jc w:val="center"/>
      <w:outlineLvl w:val="0"/>
    </w:pPr>
    <w:rPr>
      <w:rFonts w:ascii="Verdana" w:hAnsi="Verdana" w:cs="Verdana"/>
      <w:b/>
      <w:bCs/>
      <w:color w:val="000066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64B53"/>
    <w:pPr>
      <w:keepNext/>
      <w:numPr>
        <w:numId w:val="1"/>
      </w:numPr>
      <w:spacing w:before="240" w:after="60"/>
      <w:outlineLvl w:val="1"/>
    </w:pPr>
    <w:rPr>
      <w:rFonts w:ascii="Verdana" w:hAnsi="Verdana" w:cs="Verdana"/>
      <w:i/>
      <w:iCs/>
      <w:color w:val="0000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B53"/>
    <w:pPr>
      <w:keepNext/>
      <w:widowControl/>
      <w:outlineLvl w:val="2"/>
    </w:pPr>
    <w:rPr>
      <w:rFonts w:ascii="Tahoma" w:hAnsi="Tahoma" w:cs="Tahoma"/>
      <w:noProof w:val="0"/>
      <w:color w:val="auto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715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64B53"/>
    <w:rPr>
      <w:rFonts w:ascii="Verdana" w:hAnsi="Verdana" w:cs="Verdana"/>
      <w:b/>
      <w:bCs/>
      <w:noProof/>
      <w:color w:val="000066"/>
      <w:kern w:val="32"/>
      <w:sz w:val="32"/>
      <w:szCs w:val="32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rsid w:val="00364B53"/>
    <w:rPr>
      <w:rFonts w:ascii="Verdana" w:hAnsi="Verdana" w:cs="Verdana"/>
      <w:i/>
      <w:iCs/>
      <w:noProof/>
      <w:color w:val="000066"/>
      <w:sz w:val="28"/>
      <w:szCs w:val="28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rsid w:val="00364B53"/>
    <w:rPr>
      <w:rFonts w:ascii="Tahoma" w:hAnsi="Tahoma" w:cs="Tahoma"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uiPriority w:val="99"/>
    <w:rsid w:val="000D715E"/>
    <w:rPr>
      <w:rFonts w:ascii="Cambria" w:hAnsi="Cambria" w:cs="Cambria"/>
      <w:b/>
      <w:bCs/>
      <w:i/>
      <w:iCs/>
      <w:noProof/>
      <w:color w:val="4F81BD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364B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53"/>
    <w:rPr>
      <w:noProof/>
      <w:color w:val="000000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364B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53"/>
    <w:rPr>
      <w:noProof/>
      <w:color w:val="000000"/>
      <w:sz w:val="24"/>
      <w:szCs w:val="24"/>
      <w:lang w:eastAsia="it-IT"/>
    </w:rPr>
  </w:style>
  <w:style w:type="paragraph" w:styleId="BodyText2">
    <w:name w:val="Body Text 2"/>
    <w:basedOn w:val="Normal"/>
    <w:link w:val="BodyText2Char"/>
    <w:uiPriority w:val="99"/>
    <w:rsid w:val="00364B53"/>
    <w:pPr>
      <w:framePr w:w="5296" w:h="2990" w:hSpace="181" w:wrap="around" w:vAnchor="page" w:hAnchor="page" w:x="408" w:y="705" w:anchorLock="1"/>
      <w:widowControl/>
      <w:jc w:val="center"/>
    </w:pPr>
    <w:rPr>
      <w:smallCaps/>
      <w:noProof w:val="0"/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64B53"/>
    <w:rPr>
      <w:smallCaps/>
      <w:sz w:val="22"/>
      <w:szCs w:val="22"/>
      <w:lang w:eastAsia="it-IT"/>
    </w:rPr>
  </w:style>
  <w:style w:type="character" w:styleId="Hyperlink">
    <w:name w:val="Hyperlink"/>
    <w:basedOn w:val="DefaultParagraphFont"/>
    <w:uiPriority w:val="99"/>
    <w:rsid w:val="00364B53"/>
    <w:rPr>
      <w:color w:val="0000FF"/>
      <w:u w:val="single"/>
    </w:rPr>
  </w:style>
  <w:style w:type="paragraph" w:styleId="NormalWeb">
    <w:name w:val="Normal (Web)"/>
    <w:basedOn w:val="Normal"/>
    <w:uiPriority w:val="99"/>
    <w:rsid w:val="00364B53"/>
    <w:pPr>
      <w:widowControl/>
      <w:spacing w:before="100" w:beforeAutospacing="1" w:after="100" w:afterAutospacing="1"/>
    </w:pPr>
    <w:rPr>
      <w:noProof w:val="0"/>
      <w:color w:val="auto"/>
    </w:rPr>
  </w:style>
  <w:style w:type="paragraph" w:customStyle="1" w:styleId="Style1">
    <w:name w:val="Style 1"/>
    <w:basedOn w:val="Normal"/>
    <w:uiPriority w:val="99"/>
    <w:rsid w:val="00364B53"/>
    <w:pPr>
      <w:spacing w:line="444" w:lineRule="atLeast"/>
      <w:jc w:val="both"/>
    </w:pPr>
  </w:style>
  <w:style w:type="paragraph" w:customStyle="1" w:styleId="rgsufficio1">
    <w:name w:val="rgs_ufficio1"/>
    <w:basedOn w:val="Normal"/>
    <w:uiPriority w:val="99"/>
    <w:rsid w:val="00364B53"/>
    <w:pPr>
      <w:framePr w:w="5800" w:h="3264" w:hSpace="180" w:wrap="around" w:vAnchor="text" w:hAnchor="page" w:x="509" w:y="-1362"/>
      <w:widowControl/>
      <w:jc w:val="center"/>
    </w:pPr>
    <w:rPr>
      <w:smallCaps/>
      <w:noProof w:val="0"/>
      <w:color w:val="auto"/>
      <w:sz w:val="16"/>
      <w:szCs w:val="16"/>
    </w:rPr>
  </w:style>
  <w:style w:type="paragraph" w:customStyle="1" w:styleId="rgsoggetto">
    <w:name w:val="rgs_oggetto"/>
    <w:basedOn w:val="Normal"/>
    <w:uiPriority w:val="99"/>
    <w:rsid w:val="00364B53"/>
    <w:pPr>
      <w:framePr w:w="10204" w:h="973" w:hSpace="181" w:wrap="notBeside" w:vAnchor="text" w:hAnchor="page" w:x="710" w:y="4083"/>
      <w:widowControl/>
      <w:tabs>
        <w:tab w:val="left" w:pos="-2200"/>
        <w:tab w:val="left" w:pos="1000"/>
      </w:tabs>
      <w:ind w:left="1000" w:hanging="1000"/>
    </w:pPr>
    <w:rPr>
      <w:noProof w:val="0"/>
      <w:color w:val="auto"/>
    </w:rPr>
  </w:style>
  <w:style w:type="character" w:customStyle="1" w:styleId="rgslogo">
    <w:name w:val="rgs_logo"/>
    <w:basedOn w:val="DefaultParagraphFont"/>
    <w:uiPriority w:val="99"/>
    <w:rsid w:val="00364B53"/>
    <w:rPr>
      <w:rFonts w:ascii="Kunstler Script" w:hAnsi="Kunstler Script" w:cs="Kunstler Script"/>
      <w:sz w:val="64"/>
      <w:szCs w:val="64"/>
    </w:rPr>
  </w:style>
  <w:style w:type="table" w:styleId="TableGrid">
    <w:name w:val="Table Grid"/>
    <w:basedOn w:val="TableNormal"/>
    <w:uiPriority w:val="99"/>
    <w:rsid w:val="00364B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99"/>
    <w:qFormat/>
    <w:rsid w:val="00364B53"/>
    <w:rPr>
      <w:b/>
      <w:bCs/>
      <w:smallCaps/>
      <w:spacing w:val="5"/>
    </w:rPr>
  </w:style>
  <w:style w:type="paragraph" w:customStyle="1" w:styleId="Istituzionale">
    <w:name w:val="Istituzionale"/>
    <w:next w:val="Normal"/>
    <w:uiPriority w:val="99"/>
    <w:rsid w:val="00364B53"/>
    <w:pPr>
      <w:framePr w:hSpace="141" w:wrap="around" w:vAnchor="text" w:hAnchor="page" w:x="1031" w:y="-1456"/>
      <w:spacing w:line="180" w:lineRule="atLeast"/>
      <w:jc w:val="center"/>
    </w:pPr>
    <w:rPr>
      <w:rFonts w:ascii="Kunstler Script" w:hAnsi="Kunstler Script" w:cs="Kunstler Script"/>
      <w:color w:val="00008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500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0A7A"/>
    <w:rPr>
      <w:rFonts w:ascii="Tahoma" w:hAnsi="Tahoma" w:cs="Tahoma"/>
      <w:noProof/>
      <w:color w:val="000000"/>
      <w:sz w:val="16"/>
      <w:szCs w:val="16"/>
      <w:lang w:eastAsia="it-IT"/>
    </w:rPr>
  </w:style>
  <w:style w:type="character" w:styleId="Strong">
    <w:name w:val="Strong"/>
    <w:basedOn w:val="DefaultParagraphFont"/>
    <w:uiPriority w:val="99"/>
    <w:qFormat/>
    <w:rsid w:val="000D715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A13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363"/>
    <w:rPr>
      <w:noProof/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CA1363"/>
    <w:rPr>
      <w:vertAlign w:val="superscript"/>
    </w:rPr>
  </w:style>
  <w:style w:type="paragraph" w:styleId="ListParagraph">
    <w:name w:val="List Paragraph"/>
    <w:basedOn w:val="Normal"/>
    <w:uiPriority w:val="99"/>
    <w:qFormat/>
    <w:rsid w:val="00390A8B"/>
    <w:pPr>
      <w:widowControl/>
      <w:ind w:left="708"/>
    </w:pPr>
    <w:rPr>
      <w:noProof w:val="0"/>
      <w:color w:val="auto"/>
      <w:sz w:val="20"/>
      <w:szCs w:val="20"/>
      <w:lang w:eastAsia="en-US"/>
    </w:rPr>
  </w:style>
  <w:style w:type="paragraph" w:customStyle="1" w:styleId="rientro1">
    <w:name w:val="rientro1"/>
    <w:basedOn w:val="Normal"/>
    <w:uiPriority w:val="99"/>
    <w:rsid w:val="00395C55"/>
    <w:pPr>
      <w:widowControl/>
      <w:spacing w:before="100" w:beforeAutospacing="1" w:after="100" w:afterAutospacing="1"/>
    </w:pPr>
    <w:rPr>
      <w:noProof w:val="0"/>
      <w:color w:val="auto"/>
    </w:rPr>
  </w:style>
  <w:style w:type="paragraph" w:styleId="Revision">
    <w:name w:val="Revision"/>
    <w:hidden/>
    <w:uiPriority w:val="99"/>
    <w:semiHidden/>
    <w:rsid w:val="004F7593"/>
    <w:rPr>
      <w:noProof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8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8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8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8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8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8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8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8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8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8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78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78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8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74">
          <w:marLeft w:val="0"/>
          <w:marRight w:val="0"/>
          <w:marTop w:val="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520780972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3" w:color="CCCC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stefanini\Desktop\MODELLI%20GIUGNO%202009\Template\Template%20lettera%20Dirigenti%20OSAM%20URV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lettera Dirigenti OSAM URVD</Template>
  <TotalTime>0</TotalTime>
  <Pages>2</Pages>
  <Words>581</Words>
  <Characters>3314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a.stefanini</dc:creator>
  <cp:keywords/>
  <dc:description/>
  <cp:lastModifiedBy>Antonella</cp:lastModifiedBy>
  <cp:revision>2</cp:revision>
  <cp:lastPrinted>2013-05-11T05:52:00Z</cp:lastPrinted>
  <dcterms:created xsi:type="dcterms:W3CDTF">2013-05-11T17:26:00Z</dcterms:created>
  <dcterms:modified xsi:type="dcterms:W3CDTF">2013-05-11T17:26:00Z</dcterms:modified>
</cp:coreProperties>
</file>