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</w:tblPr>
      <w:tblGrid>
        <w:gridCol w:w="2519"/>
        <w:gridCol w:w="3600"/>
        <w:gridCol w:w="2159"/>
        <w:gridCol w:w="1081"/>
      </w:tblGrid>
      <w:tr>
        <w:trPr>
          <w:trHeight w:hRule="atLeast" w:val="908"/>
          <w:cantSplit w:val="false"/>
        </w:trPr>
        <w:tc>
          <w:tcPr>
            <w:tcW w:type="dxa" w:w="2519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>
                <w:pict>
                  <v:shapetype id="shapetype_75" coordsize="21600,21600" o:spt="75" adj="2700" path="m,l21600,l21600,21600l,21600xm@0@0l@0@2l@1@2l@1@0xe">
                    <v:stroke joinstyle="miter"/>
                    <v:formulas>
                      <v:f eqn="val #0"/>
                      <v:f eqn="sum width 0 @0"/>
                      <v:f eqn="sum height 0 @0"/>
                    </v:formulas>
                    <v:path gradientshapeok="t" o:connecttype="rect" textboxrect="@0,@0,@1,@2"/>
                    <v:handles>
                      <v:h position="@0,0"/>
                    </v:handles>
                  </v:shapetype>
                  <v:shape id="shape_0" style="position:absolute;margin-left:0pt;margin-top:0pt;width:116.95pt;height:57.7pt" type="shapetype_75">
                    <v:fill detectmouseclick="t"/>
                    <v:wrap v:type="none"/>
                    <v:stroke color="gray" joinstyle="round"/>
                  </v:shape>
                </w:pict>
              </w:rPr>
            </w:r>
          </w:p>
        </w:tc>
        <w:tc>
          <w:tcPr>
            <w:tcW w:type="dxa" w:w="3600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2159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1081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</w:tr>
    </w:tbl>
    <w:p>
      <w:pPr>
        <w:pStyle w:val="style0"/>
        <w:jc w:val="center"/>
      </w:pPr>
      <w:r>
        <w:rPr>
          <w:b/>
        </w:rPr>
      </w:r>
    </w:p>
    <w:p>
      <w:pPr>
        <w:pStyle w:val="style0"/>
      </w:pPr>
      <w:r>
        <w:rPr>
          <w:sz w:val="32"/>
          <w:szCs w:val="32"/>
        </w:rPr>
        <w:t>Prot. 5105/c20 del 20/10/2015</w:t>
      </w:r>
    </w:p>
    <w:p>
      <w:pPr>
        <w:pStyle w:val="style0"/>
      </w:pPr>
      <w:r>
        <w:rPr>
          <w:sz w:val="32"/>
          <w:szCs w:val="32"/>
        </w:rPr>
      </w:r>
    </w:p>
    <w:p>
      <w:pPr>
        <w:pStyle w:val="style0"/>
        <w:jc w:val="center"/>
      </w:pPr>
      <w:r>
        <w:rPr>
          <w:sz w:val="32"/>
          <w:szCs w:val="32"/>
        </w:rPr>
        <w:t>BANDO DI SELEZIONE ESPERTI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b/>
        </w:rPr>
        <w:t>IL DIRIGENTE SCOLASTICO</w:t>
      </w:r>
    </w:p>
    <w:p>
      <w:pPr>
        <w:pStyle w:val="style0"/>
        <w:ind w:hanging="0" w:left="360" w:right="0"/>
        <w:jc w:val="both"/>
      </w:pPr>
      <w:r>
        <w:rPr>
          <w:sz w:val="28"/>
          <w:szCs w:val="28"/>
        </w:rPr>
      </w:r>
    </w:p>
    <w:p>
      <w:pPr>
        <w:pStyle w:val="style0"/>
        <w:numPr>
          <w:ilvl w:val="0"/>
          <w:numId w:val="2"/>
        </w:numPr>
        <w:jc w:val="both"/>
      </w:pPr>
      <w:r>
        <w:rPr>
          <w:sz w:val="28"/>
          <w:szCs w:val="28"/>
        </w:rPr>
        <w:t>Visto l’art. 40 del  D.M. N. 44/01 che permette la stipula di contratti di prestazione d’opera per l’arricchimento dell’offerta formativa;</w:t>
      </w:r>
    </w:p>
    <w:p>
      <w:pPr>
        <w:pStyle w:val="style0"/>
        <w:numPr>
          <w:ilvl w:val="0"/>
          <w:numId w:val="2"/>
        </w:numPr>
        <w:jc w:val="both"/>
      </w:pPr>
      <w:r>
        <w:rPr>
          <w:sz w:val="28"/>
          <w:szCs w:val="28"/>
        </w:rPr>
        <w:t>Visto il bando Prot. 4922/c20 del 20/10/2015 con il quale si ricercavano figure di esperti esterni di madre lingua;</w:t>
      </w:r>
    </w:p>
    <w:p>
      <w:pPr>
        <w:pStyle w:val="style0"/>
        <w:numPr>
          <w:ilvl w:val="0"/>
          <w:numId w:val="2"/>
        </w:numPr>
        <w:jc w:val="both"/>
      </w:pPr>
      <w:r>
        <w:rPr>
          <w:sz w:val="28"/>
          <w:szCs w:val="28"/>
        </w:rPr>
        <w:t xml:space="preserve">Considerato che le candidature proposte non sono state sufficienti per coprire il fabbisogno per le lingue francese e Inglese; </w:t>
      </w:r>
    </w:p>
    <w:p>
      <w:pPr>
        <w:pStyle w:val="style0"/>
        <w:ind w:hanging="0" w:left="720" w:right="0"/>
        <w:jc w:val="both"/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INDICE</w:t>
      </w:r>
    </w:p>
    <w:p>
      <w:pPr>
        <w:pStyle w:val="style0"/>
        <w:ind w:hanging="0" w:left="720" w:right="0"/>
        <w:jc w:val="both"/>
      </w:pPr>
      <w:r>
        <w:rPr>
          <w:sz w:val="28"/>
          <w:szCs w:val="28"/>
        </w:rPr>
        <w:t>Il presente bando per la selezione e il reclutamento delle seguenti figure professionali:</w:t>
      </w:r>
    </w:p>
    <w:p>
      <w:pPr>
        <w:pStyle w:val="style0"/>
        <w:ind w:hanging="0" w:left="720" w:right="0"/>
        <w:jc w:val="both"/>
      </w:pPr>
      <w:r>
        <w:rPr>
          <w:sz w:val="28"/>
          <w:szCs w:val="28"/>
        </w:rPr>
      </w:r>
    </w:p>
    <w:p>
      <w:pPr>
        <w:pStyle w:val="style0"/>
        <w:numPr>
          <w:ilvl w:val="0"/>
          <w:numId w:val="1"/>
        </w:numPr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  <w:jc w:val="both"/>
      </w:pPr>
      <w:r>
        <w:rPr>
          <w:b/>
          <w:sz w:val="28"/>
          <w:szCs w:val="28"/>
        </w:rPr>
        <w:t>Lettore di madre lingua Francese</w:t>
      </w:r>
      <w:r>
        <w:rPr>
          <w:iCs/>
          <w:sz w:val="28"/>
          <w:szCs w:val="28"/>
        </w:rPr>
        <w:t>.</w:t>
      </w:r>
    </w:p>
    <w:p>
      <w:pPr>
        <w:pStyle w:val="style0"/>
        <w:numPr>
          <w:ilvl w:val="0"/>
          <w:numId w:val="1"/>
        </w:numPr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  <w:jc w:val="both"/>
      </w:pPr>
      <w:r>
        <w:rPr>
          <w:b/>
          <w:sz w:val="28"/>
          <w:szCs w:val="28"/>
        </w:rPr>
        <w:t>Lettore di madre lingua Inglese.</w:t>
      </w:r>
    </w:p>
    <w:p>
      <w:pPr>
        <w:pStyle w:val="style0"/>
        <w:ind w:hanging="0" w:left="360" w:right="0"/>
        <w:jc w:val="both"/>
      </w:pPr>
      <w:r>
        <w:rPr>
          <w:b/>
          <w:iCs/>
          <w:sz w:val="28"/>
          <w:szCs w:val="28"/>
          <w:u w:val="single"/>
        </w:rPr>
      </w:r>
    </w:p>
    <w:p>
      <w:pPr>
        <w:pStyle w:val="style0"/>
        <w:ind w:hanging="0" w:left="360" w:right="0"/>
        <w:jc w:val="both"/>
      </w:pPr>
      <w:r>
        <w:rPr>
          <w:iCs/>
          <w:sz w:val="28"/>
          <w:szCs w:val="28"/>
        </w:rPr>
        <w:t>L’attività da svolgere consiste nell’espletamento di corsi finalizzati al  conseguimento delle certificazioni linguistiche come di seguito indicato:</w:t>
      </w:r>
    </w:p>
    <w:p>
      <w:pPr>
        <w:pStyle w:val="style0"/>
        <w:numPr>
          <w:ilvl w:val="0"/>
          <w:numId w:val="4"/>
        </w:numPr>
        <w:jc w:val="both"/>
      </w:pPr>
      <w:r>
        <w:rPr>
          <w:iCs/>
          <w:sz w:val="28"/>
          <w:szCs w:val="28"/>
        </w:rPr>
        <w:t>N.30 ore di lezione frontale  per il conseguimento delle certificazioni di livello B1, N. 35 per il livello  B2 e N.40 per il livello C1.</w:t>
      </w:r>
    </w:p>
    <w:p>
      <w:pPr>
        <w:pStyle w:val="style0"/>
        <w:ind w:hanging="0" w:left="1440" w:right="0"/>
        <w:jc w:val="both"/>
      </w:pPr>
      <w:r>
        <w:rPr>
          <w:iCs/>
          <w:sz w:val="28"/>
          <w:szCs w:val="28"/>
        </w:rPr>
      </w:r>
    </w:p>
    <w:p>
      <w:pPr>
        <w:pStyle w:val="style0"/>
        <w:ind w:hanging="0" w:left="360" w:right="0"/>
        <w:jc w:val="both"/>
      </w:pPr>
      <w:r>
        <w:rPr>
          <w:iCs/>
          <w:sz w:val="28"/>
          <w:szCs w:val="28"/>
        </w:rPr>
        <w:t>Il numero dei corsi da attivare dipenderà dal numero dei partecipanti.</w:t>
      </w:r>
    </w:p>
    <w:p>
      <w:pPr>
        <w:pStyle w:val="style0"/>
        <w:ind w:hanging="0" w:left="360" w:right="0"/>
        <w:jc w:val="both"/>
      </w:pPr>
      <w:r>
        <w:rPr>
          <w:iCs/>
          <w:sz w:val="28"/>
          <w:szCs w:val="28"/>
        </w:rPr>
        <w:t>Il programma da svolgere dovrà essere finalizzato alla preparazione per il sostenimento degli esami tendenti ad ottenere la certificazione PET ( B1), FIRST (B2), ADVANCED (C1), DELF ( B1/B2/C1), DELE (B1/B2).</w:t>
      </w:r>
    </w:p>
    <w:p>
      <w:pPr>
        <w:pStyle w:val="style0"/>
        <w:ind w:hanging="0" w:left="360" w:right="0"/>
        <w:jc w:val="both"/>
      </w:pPr>
      <w:r>
        <w:rPr>
          <w:iCs/>
          <w:sz w:val="28"/>
          <w:szCs w:val="28"/>
        </w:rPr>
        <w:t>Il  corso si terrà nel pomeriggio (presumibilmente dalle ore 14.30 alle ore 16.00).</w:t>
      </w:r>
    </w:p>
    <w:p>
      <w:pPr>
        <w:pStyle w:val="style0"/>
        <w:jc w:val="both"/>
      </w:pPr>
      <w:r>
        <w:rPr>
          <w:iCs/>
          <w:sz w:val="28"/>
          <w:szCs w:val="28"/>
        </w:rPr>
        <w:t>Gli aspiranti esperti  destinatari di contratto di prestazione d’opera  dovranno impegnarsi a: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Partecipare agli  incontri propedeutici alla realizzazione dell’attività con il responsabile dell’attività;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Accettare l’orario proposto dalla scuola;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Svolgere le lezioni secondo le direttive degli insegnanti di lingua della scuola;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Firmare i registri di presenza;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Predisporre il materiale necessario per la rilevazione delle competenze;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Predisporre e consegnare  materiale prodotto.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Realizzare un report in itinere e finale dell'attività svolta e dei risultati ottenuti.</w:t>
      </w:r>
    </w:p>
    <w:p>
      <w:pPr>
        <w:pStyle w:val="style0"/>
        <w:numPr>
          <w:ilvl w:val="1"/>
          <w:numId w:val="1"/>
        </w:numPr>
        <w:jc w:val="both"/>
      </w:pPr>
      <w:r>
        <w:rPr>
          <w:iCs/>
          <w:sz w:val="28"/>
          <w:szCs w:val="28"/>
        </w:rPr>
        <w:t>Provvedere alla gestione della classe (rilevazione/segnalazione delle assenze).</w:t>
      </w:r>
    </w:p>
    <w:p>
      <w:pPr>
        <w:pStyle w:val="style0"/>
        <w:jc w:val="both"/>
      </w:pPr>
      <w:r>
        <w:rPr>
          <w:iCs/>
          <w:sz w:val="28"/>
          <w:szCs w:val="28"/>
        </w:rPr>
        <w:t>Il docente durante lo svolgimento dell’attività sarà responsabile della vigilanza, pertanto dovrà essere annotato sul registro ogni evento.</w:t>
      </w:r>
    </w:p>
    <w:p>
      <w:pPr>
        <w:pStyle w:val="style0"/>
        <w:jc w:val="both"/>
      </w:pPr>
      <w:r>
        <w:rPr>
          <w:iCs/>
          <w:sz w:val="28"/>
          <w:szCs w:val="28"/>
        </w:rPr>
        <w:t>Il compenso previsto per ogni ora di lezione è pari ad euro 35.00 comprensivo di ritenuta erariale ed IRAP.</w:t>
      </w:r>
    </w:p>
    <w:p>
      <w:pPr>
        <w:pStyle w:val="style0"/>
        <w:jc w:val="both"/>
      </w:pPr>
      <w:r>
        <w:rPr>
          <w:iCs/>
          <w:sz w:val="28"/>
          <w:szCs w:val="28"/>
        </w:rPr>
        <w:t xml:space="preserve">Verrà stipulato apposito contratto di prestazione d’opera occasionale che non configura alcuna tipologia di lavoro subordinato. La liquidazione del compenso avverrà a prestazione eseguita, entro 30 gg., dalla conclusione dell’attività formativa e previa verifica della documentazione richiesta. </w:t>
      </w:r>
    </w:p>
    <w:p>
      <w:pPr>
        <w:pStyle w:val="style0"/>
        <w:jc w:val="both"/>
      </w:pPr>
      <w:r>
        <w:rPr>
          <w:iCs/>
          <w:sz w:val="28"/>
          <w:szCs w:val="28"/>
        </w:rPr>
        <w:t>La prestazione è personale e NON è sostituibile</w:t>
      </w:r>
    </w:p>
    <w:p>
      <w:pPr>
        <w:pStyle w:val="style0"/>
        <w:jc w:val="center"/>
      </w:pPr>
      <w:r>
        <w:rPr>
          <w:sz w:val="28"/>
          <w:szCs w:val="28"/>
        </w:rPr>
        <w:t>REQUISITI PER l’accesso al bando:</w:t>
      </w:r>
    </w:p>
    <w:p>
      <w:pPr>
        <w:pStyle w:val="style0"/>
        <w:numPr>
          <w:ilvl w:val="0"/>
          <w:numId w:val="3"/>
        </w:numPr>
      </w:pPr>
      <w:r>
        <w:rPr>
          <w:sz w:val="28"/>
          <w:szCs w:val="28"/>
        </w:rPr>
        <w:t>Essere madrelingua  per l’ambito per cui si concorre.</w:t>
      </w:r>
    </w:p>
    <w:p>
      <w:pPr>
        <w:pStyle w:val="style0"/>
        <w:numPr>
          <w:ilvl w:val="0"/>
          <w:numId w:val="3"/>
        </w:numPr>
      </w:pPr>
      <w:r>
        <w:rPr>
          <w:sz w:val="28"/>
          <w:szCs w:val="28"/>
        </w:rPr>
        <w:t>Essere in possesso del titolo di insegnamento agli stranieri.</w:t>
      </w:r>
    </w:p>
    <w:p>
      <w:pPr>
        <w:pStyle w:val="style0"/>
        <w:numPr>
          <w:ilvl w:val="0"/>
          <w:numId w:val="3"/>
        </w:numPr>
      </w:pPr>
      <w:r>
        <w:rPr>
          <w:sz w:val="28"/>
          <w:szCs w:val="28"/>
        </w:rPr>
        <w:t xml:space="preserve">Avere esperienze didattiche in scuole italiane e/o internazionali. </w:t>
      </w:r>
    </w:p>
    <w:p>
      <w:pPr>
        <w:pStyle w:val="style0"/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Avere conoscenza dell’impostazione metodologica degli esami per le certificazioni inglese e francese  livello B1, B2, C1  (Pet, First, Advanced, Delf, ) </w:t>
      </w:r>
    </w:p>
    <w:p>
      <w:pPr>
        <w:pStyle w:val="style0"/>
        <w:numPr>
          <w:ilvl w:val="0"/>
          <w:numId w:val="3"/>
        </w:numPr>
      </w:pPr>
      <w:r>
        <w:rPr>
          <w:sz w:val="28"/>
          <w:szCs w:val="28"/>
        </w:rPr>
        <w:t>Aver maturato esperienza come esaminatore .</w:t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b/>
          <w:sz w:val="28"/>
          <w:szCs w:val="28"/>
        </w:rPr>
        <w:t>In caso di più candidature,  la scelta del personale da utilizzare nel progetto “Lettori” avverrà in seguito allo scorrimento di apposita  graduatoria interna per disciplina/ che terrà conto della seguente tabella di valutazione dei titoli.</w:t>
      </w:r>
    </w:p>
    <w:p>
      <w:pPr>
        <w:pStyle w:val="style0"/>
        <w:jc w:val="both"/>
      </w:pPr>
      <w:r>
        <w:rPr/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/>
        <w:t>T</w:t>
      </w:r>
      <w:r>
        <w:rPr>
          <w:sz w:val="28"/>
          <w:szCs w:val="28"/>
        </w:rPr>
        <w:t>ABELLA DEI PUNTEGGI: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>Titolo universitario: punti 1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>Laurea specifica in lingue e letterature straniere: punti 3.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  <w:jc w:val="both"/>
      </w:pPr>
      <w:r>
        <w:rPr>
          <w:sz w:val="28"/>
          <w:szCs w:val="28"/>
        </w:rPr>
        <w:t>Esperienza didattica di disciplina : 0,50 per ogni anno fino ad un massimo di 5 punti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>Titolo d’insegnamento per insegnare a studenti stranieri: 5 punti.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  <w:jc w:val="both"/>
      </w:pPr>
      <w:r>
        <w:rPr>
          <w:sz w:val="28"/>
          <w:szCs w:val="28"/>
        </w:rPr>
        <w:t>Corsi di aggiornamento nel campo delle didattica e conoscenza della metodologia di preparazione delle certificazioni di almeno 30 h:  2 punti per un corso e 0,50 per altri corsi fino ad un max. di 5 punti totali.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Esperto con esperienza di esaminatore: 5 punti.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Esperto che ha lavorato come lettore universitario: 1 punto.</w:t>
      </w:r>
    </w:p>
    <w:p>
      <w:pPr>
        <w:pStyle w:val="style0"/>
        <w:pBdr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pBdr>
      </w:pPr>
      <w:r>
        <w:rPr>
          <w:sz w:val="28"/>
          <w:szCs w:val="28"/>
        </w:rPr>
        <w:t xml:space="preserve">Gli esperti che si collocheranno in posizione utile, sosterranno eventuale colloquio con la Dirigente ed apposita commissione al fine di saggiare le attitudini relazionali e motivazionali. </w:t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  <w:t xml:space="preserve">Apposita graduatoria verrà affissa all’albo della scuola per consentire la presentazione  di un eventuale reclamo motivato entro 5 gg. </w:t>
      </w:r>
    </w:p>
    <w:p>
      <w:pPr>
        <w:pStyle w:val="style0"/>
        <w:jc w:val="both"/>
      </w:pPr>
      <w:r>
        <w:rPr>
          <w:sz w:val="28"/>
          <w:szCs w:val="28"/>
        </w:rPr>
        <w:t xml:space="preserve">Gli aspiranti dovranno far pervenire,  entro le ore 13,30 del giorno 6 Novembre 2015 il modello di domanda allegato, debitamente compilato ed il proprio curriculum vitae, in formato europeo, al seguente indirizzo: </w:t>
      </w:r>
    </w:p>
    <w:p>
      <w:pPr>
        <w:pStyle w:val="style0"/>
        <w:jc w:val="both"/>
      </w:pPr>
      <w:r>
        <w:rPr>
          <w:b/>
        </w:rPr>
        <w:t>LICEO STATALE  “G. LOMBARDO RADICE”</w:t>
      </w:r>
    </w:p>
    <w:p>
      <w:pPr>
        <w:pStyle w:val="style0"/>
        <w:jc w:val="both"/>
      </w:pPr>
      <w:r>
        <w:rPr>
          <w:b/>
        </w:rPr>
        <w:t>Via Imperia n. 21 -  C A T A N I A</w:t>
      </w:r>
    </w:p>
    <w:p>
      <w:pPr>
        <w:pStyle w:val="style0"/>
        <w:jc w:val="both"/>
      </w:pPr>
      <w:r>
        <w:rPr>
          <w:b/>
        </w:rPr>
      </w:r>
    </w:p>
    <w:p>
      <w:pPr>
        <w:pStyle w:val="style0"/>
        <w:jc w:val="both"/>
      </w:pPr>
      <w:r>
        <w:rPr>
          <w:b/>
          <w:sz w:val="28"/>
          <w:szCs w:val="28"/>
        </w:rPr>
        <w:t xml:space="preserve">Non verranno prese in considerazione le domande pervenute prima della pubblicazione del presente bando; non farà fede la data di spedizione del plico. </w:t>
      </w:r>
    </w:p>
    <w:p>
      <w:pPr>
        <w:pStyle w:val="style0"/>
        <w:jc w:val="both"/>
      </w:pPr>
      <w:r>
        <w:rPr>
          <w:sz w:val="28"/>
          <w:szCs w:val="28"/>
        </w:rPr>
        <w:t>Gli aspiranti dipendenti da altra amministrazione dovranno essere autorizzati dalla stessa.  I corsi si svolgeranno presso la sede centrale di Catania in Via Imperia 21 e la sezione staccata di Gravina di Catania in Via Zangrì 6 in orario extracurricolare.</w:t>
      </w:r>
    </w:p>
    <w:p>
      <w:pPr>
        <w:pStyle w:val="style0"/>
        <w:jc w:val="both"/>
      </w:pPr>
      <w:r>
        <w:rPr>
          <w:sz w:val="28"/>
          <w:szCs w:val="28"/>
        </w:rPr>
        <w:t>I corsi si svolgeranno dal mese di Novembre 2015 al mese di Maggio 2016.</w:t>
      </w:r>
    </w:p>
    <w:p>
      <w:pPr>
        <w:pStyle w:val="style0"/>
        <w:jc w:val="both"/>
      </w:pPr>
      <w:r>
        <w:rPr>
          <w:sz w:val="28"/>
          <w:szCs w:val="28"/>
        </w:rPr>
        <w:t xml:space="preserve">Il presente bando è consultabile all’albo dell’istituto e sul sito dello stesso </w:t>
      </w:r>
      <w:hyperlink r:id="rId2">
        <w:r>
          <w:rPr>
            <w:rStyle w:val="style41"/>
          </w:rPr>
          <w:t>www.lombardoradicect.it</w:t>
        </w:r>
      </w:hyperlink>
      <w:r>
        <w:rPr>
          <w:sz w:val="28"/>
          <w:szCs w:val="28"/>
        </w:rPr>
        <w:t xml:space="preserve"> dalla data odierna.</w:t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  <w:t>Catania, 20 ottobre 2015</w:t>
      </w:r>
    </w:p>
    <w:p>
      <w:pPr>
        <w:pStyle w:val="style0"/>
        <w:jc w:val="both"/>
      </w:pPr>
      <w:r>
        <w:rPr>
          <w:sz w:val="28"/>
          <w:szCs w:val="28"/>
        </w:rPr>
        <w:tab/>
      </w:r>
      <w:r>
        <w:rPr/>
        <w:tab/>
        <w:tab/>
        <w:tab/>
        <w:tab/>
        <w:tab/>
        <w:tab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right"/>
      </w:pPr>
      <w:r>
        <w:rPr/>
        <w:tab/>
      </w:r>
      <w:r>
        <w:rPr>
          <w:b/>
        </w:rPr>
        <w:t>Il Dirigente Scolastico</w:t>
      </w:r>
    </w:p>
    <w:p>
      <w:pPr>
        <w:pStyle w:val="style0"/>
        <w:jc w:val="right"/>
      </w:pPr>
      <w:r>
        <w:rPr>
          <w:b/>
        </w:rPr>
        <w:t>Prof.ssa Pietrina Paladino</w:t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  <w:br/>
        <w:tab/>
      </w:r>
    </w:p>
    <w:p>
      <w:pPr>
        <w:pStyle w:val="style0"/>
        <w:jc w:val="right"/>
      </w:pPr>
      <w:r>
        <w:rPr/>
      </w:r>
    </w:p>
    <w:p>
      <w:pPr>
        <w:pStyle w:val="style0"/>
        <w:pageBreakBefore/>
        <w:jc w:val="right"/>
      </w:pPr>
      <w:r>
        <w:rPr/>
      </w:r>
    </w:p>
    <w:tbl>
      <w:tblPr>
        <w:jc w:val="left"/>
        <w:tblBorders/>
      </w:tblPr>
      <w:tblGrid>
        <w:gridCol w:w="2519"/>
        <w:gridCol w:w="3600"/>
        <w:gridCol w:w="2159"/>
        <w:gridCol w:w="1081"/>
      </w:tblGrid>
      <w:tr>
        <w:trPr>
          <w:trHeight w:hRule="atLeast" w:val="908"/>
          <w:cantSplit w:val="false"/>
        </w:trPr>
        <w:tc>
          <w:tcPr>
            <w:tcW w:type="dxa" w:w="2519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3600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2159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1081"/>
            <w:tcBorders/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</w:tr>
    </w:tbl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center"/>
      </w:pPr>
      <w:r>
        <w:rPr>
          <w:b/>
        </w:rPr>
        <w:t>MODELLO DI DOMANDA</w:t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  <w:t>Al Dirigente Scolastico</w:t>
      </w:r>
    </w:p>
    <w:p>
      <w:pPr>
        <w:pStyle w:val="style0"/>
        <w:jc w:val="right"/>
      </w:pPr>
      <w:r>
        <w:rPr/>
        <w:t xml:space="preserve">del LICEO STATALE </w:t>
        <w:br/>
        <w:t>“LOMBARDO RADICE”</w:t>
      </w:r>
    </w:p>
    <w:p>
      <w:pPr>
        <w:pStyle w:val="style0"/>
        <w:jc w:val="right"/>
      </w:pPr>
      <w:r>
        <w:rPr/>
        <w:t>Catania</w:t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</w:pPr>
      <w:r>
        <w:rPr/>
        <w:t>OGGETTO: PRESENTAZIONE ISTANZA PER LETTORATO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_L_  sottoscritt_ _________________________________nat_ a ________________il__________,</w:t>
      </w:r>
    </w:p>
    <w:p>
      <w:pPr>
        <w:pStyle w:val="style0"/>
      </w:pPr>
      <w:r>
        <w:rPr/>
      </w:r>
    </w:p>
    <w:p>
      <w:pPr>
        <w:pStyle w:val="style0"/>
      </w:pPr>
      <w:r>
        <w:rPr/>
        <w:t>STATO ___________________________, Cittadinanza______________________,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  <w:t>DICHIARA</w:t>
      </w:r>
    </w:p>
    <w:p>
      <w:pPr>
        <w:pStyle w:val="style0"/>
        <w:jc w:val="center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- Di  volere partecipare alla selezione del  lettore di madre lingua ___________________________,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  <w:t>Si allega curriculum vitae in formato europeo.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Data___________________________                                    _______________________________</w:t>
        <w:br/>
        <w:t xml:space="preserve">                                                                                                                           (firma)</w:t>
      </w:r>
    </w:p>
    <w:sectPr>
      <w:type w:val="nextPage"/>
      <w:pgSz w:h="16838" w:w="11906"/>
      <w:pgMar w:bottom="1134" w:footer="0" w:gutter="0" w:header="0" w:left="1134" w:right="1134" w:top="141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variable"/>
  </w:font>
  <w:font w:name="Wingdings">
    <w:charset w:val="02"/>
    <w:family w:val="auto"/>
    <w:pitch w:val="default"/>
  </w:font>
  <w:font w:name="Courier New">
    <w:charset w:val="80"/>
    <w:family w:val="modern"/>
    <w:pitch w:val="fixed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lowerLetter"/>
      <w:lvlText w:val="%1)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cs="Symbol" w:hAnsi="Symbol" w:hint="default"/>
      </w:rPr>
    </w:lvl>
    <w:lvl w:ilvl="2">
      <w:start w:val="1"/>
      <w:numFmt w:val="bullet"/>
      <w:lvlText w:val="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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</w:rPr>
    </w:lvl>
    <w:lvl w:ilvl="4">
      <w:start w:val="1"/>
      <w:numFmt w:val="bullet"/>
      <w:lvlText w:val="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</w:rPr>
    </w:lvl>
    <w:lvl w:ilvl="5">
      <w:start w:val="1"/>
      <w:numFmt w:val="bullet"/>
      <w:lvlText w:val="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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</w:rPr>
    </w:lvl>
    <w:lvl w:ilvl="7">
      <w:start w:val="1"/>
      <w:numFmt w:val="bullet"/>
      <w:lvlText w:val="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</w:rPr>
    </w:lvl>
    <w:lvl w:ilvl="8">
      <w:start w:val="1"/>
      <w:numFmt w:val="bullet"/>
      <w:lvlText w:val="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144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ar-SA" w:val="it-IT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>
      <w:rFonts w:ascii="Wingdings" w:cs="Wingdings" w:hAnsi="Wingdings"/>
    </w:rPr>
  </w:style>
  <w:style w:styleId="style17" w:type="character">
    <w:name w:val="WW8Num2z0"/>
    <w:next w:val="style17"/>
    <w:rPr>
      <w:rFonts w:ascii="Symbol" w:cs="Symbol" w:hAnsi="Symbol"/>
    </w:rPr>
  </w:style>
  <w:style w:styleId="style18" w:type="character">
    <w:name w:val="WW8Num2z2"/>
    <w:next w:val="style18"/>
    <w:rPr>
      <w:rFonts w:ascii="Wingdings" w:cs="Wingdings" w:hAnsi="Wingdings"/>
    </w:rPr>
  </w:style>
  <w:style w:styleId="style19" w:type="character">
    <w:name w:val="WW8Num2z4"/>
    <w:next w:val="style19"/>
    <w:rPr>
      <w:rFonts w:ascii="Courier New" w:cs="Courier New" w:hAnsi="Courier New"/>
    </w:rPr>
  </w:style>
  <w:style w:styleId="style20" w:type="character">
    <w:name w:val="WW8Num3z0"/>
    <w:next w:val="style20"/>
    <w:rPr>
      <w:rFonts w:ascii="Times New Roman" w:cs="Times New Roman" w:eastAsia="Times New Roman" w:hAnsi="Times New Roman"/>
    </w:rPr>
  </w:style>
  <w:style w:styleId="style21" w:type="character">
    <w:name w:val="WW8Num3z1"/>
    <w:next w:val="style21"/>
    <w:rPr>
      <w:rFonts w:ascii="Courier New" w:cs="Courier New" w:hAnsi="Courier New"/>
    </w:rPr>
  </w:style>
  <w:style w:styleId="style22" w:type="character">
    <w:name w:val="WW8Num3z2"/>
    <w:next w:val="style22"/>
    <w:rPr>
      <w:rFonts w:ascii="Wingdings" w:cs="Wingdings" w:hAnsi="Wingdings"/>
    </w:rPr>
  </w:style>
  <w:style w:styleId="style23" w:type="character">
    <w:name w:val="WW8Num3z3"/>
    <w:next w:val="style23"/>
    <w:rPr>
      <w:rFonts w:ascii="Symbol" w:cs="Symbol" w:hAnsi="Symbol"/>
    </w:rPr>
  </w:style>
  <w:style w:styleId="style24" w:type="character">
    <w:name w:val="WW8Num4z0"/>
    <w:next w:val="style24"/>
    <w:rPr>
      <w:rFonts w:ascii="Times New Roman" w:cs="Times New Roman" w:eastAsia="Times New Roman" w:hAnsi="Times New Roman"/>
    </w:rPr>
  </w:style>
  <w:style w:styleId="style25" w:type="character">
    <w:name w:val="WW8Num4z1"/>
    <w:next w:val="style25"/>
    <w:rPr>
      <w:rFonts w:ascii="Courier New" w:cs="Courier New" w:hAnsi="Courier New"/>
    </w:rPr>
  </w:style>
  <w:style w:styleId="style26" w:type="character">
    <w:name w:val="WW8Num4z2"/>
    <w:next w:val="style26"/>
    <w:rPr>
      <w:rFonts w:ascii="Wingdings" w:cs="Wingdings" w:hAnsi="Wingdings"/>
    </w:rPr>
  </w:style>
  <w:style w:styleId="style27" w:type="character">
    <w:name w:val="WW8Num4z3"/>
    <w:next w:val="style27"/>
    <w:rPr>
      <w:rFonts w:ascii="Symbol" w:cs="Symbol" w:hAnsi="Symbol"/>
    </w:rPr>
  </w:style>
  <w:style w:styleId="style28" w:type="character">
    <w:name w:val="WW8Num5z1"/>
    <w:next w:val="style28"/>
    <w:rPr>
      <w:rFonts w:ascii="Symbol" w:cs="Symbol" w:hAnsi="Symbol"/>
    </w:rPr>
  </w:style>
  <w:style w:styleId="style29" w:type="character">
    <w:name w:val="WW8Num5z2"/>
    <w:next w:val="style29"/>
    <w:rPr>
      <w:rFonts w:ascii="Wingdings" w:cs="Wingdings" w:hAnsi="Wingdings"/>
    </w:rPr>
  </w:style>
  <w:style w:styleId="style30" w:type="character">
    <w:name w:val="WW8Num6z0"/>
    <w:next w:val="style30"/>
    <w:rPr>
      <w:rFonts w:ascii="Wingdings" w:cs="Wingdings" w:hAnsi="Wingdings"/>
    </w:rPr>
  </w:style>
  <w:style w:styleId="style31" w:type="character">
    <w:name w:val="WW8Num7z0"/>
    <w:next w:val="style31"/>
    <w:rPr>
      <w:rFonts w:ascii="Symbol" w:cs="Symbol" w:hAnsi="Symbol"/>
    </w:rPr>
  </w:style>
  <w:style w:styleId="style32" w:type="character">
    <w:name w:val="WW8Num7z1"/>
    <w:next w:val="style32"/>
    <w:rPr>
      <w:rFonts w:ascii="Courier New" w:cs="Courier New" w:hAnsi="Courier New"/>
    </w:rPr>
  </w:style>
  <w:style w:styleId="style33" w:type="character">
    <w:name w:val="WW8Num7z2"/>
    <w:next w:val="style33"/>
    <w:rPr>
      <w:rFonts w:ascii="Wingdings" w:cs="Wingdings" w:hAnsi="Wingdings"/>
    </w:rPr>
  </w:style>
  <w:style w:styleId="style34" w:type="character">
    <w:name w:val="WW8Num8z0"/>
    <w:next w:val="style34"/>
    <w:rPr>
      <w:rFonts w:ascii="Symbol" w:cs="Symbol" w:hAnsi="Symbol"/>
    </w:rPr>
  </w:style>
  <w:style w:styleId="style35" w:type="character">
    <w:name w:val="WW8Num8z1"/>
    <w:next w:val="style35"/>
    <w:rPr>
      <w:rFonts w:ascii="Courier New" w:cs="Courier New" w:hAnsi="Courier New"/>
    </w:rPr>
  </w:style>
  <w:style w:styleId="style36" w:type="character">
    <w:name w:val="WW8Num8z2"/>
    <w:next w:val="style36"/>
    <w:rPr>
      <w:rFonts w:ascii="Wingdings" w:cs="Wingdings" w:hAnsi="Wingdings"/>
    </w:rPr>
  </w:style>
  <w:style w:styleId="style37" w:type="character">
    <w:name w:val="WW8Num9z0"/>
    <w:next w:val="style37"/>
    <w:rPr>
      <w:rFonts w:ascii="Symbol" w:cs="Symbol" w:hAnsi="Symbol"/>
    </w:rPr>
  </w:style>
  <w:style w:styleId="style38" w:type="character">
    <w:name w:val="WW8Num9z1"/>
    <w:next w:val="style38"/>
    <w:rPr>
      <w:rFonts w:ascii="Courier New" w:cs="Courier New" w:hAnsi="Courier New"/>
    </w:rPr>
  </w:style>
  <w:style w:styleId="style39" w:type="character">
    <w:name w:val="WW8Num9z2"/>
    <w:next w:val="style39"/>
    <w:rPr>
      <w:rFonts w:ascii="Wingdings" w:cs="Wingdings" w:hAnsi="Wingdings"/>
    </w:rPr>
  </w:style>
  <w:style w:styleId="style40" w:type="character">
    <w:name w:val="Car. predefinito paragrafo1"/>
    <w:next w:val="style40"/>
    <w:rPr/>
  </w:style>
  <w:style w:styleId="style41" w:type="character">
    <w:name w:val="Collegamento Internet"/>
    <w:next w:val="style41"/>
    <w:rPr>
      <w:color w:val="0000FF"/>
      <w:u w:val="single"/>
      <w:lang w:bidi="it-IT" w:eastAsia="it-IT" w:val="it-IT"/>
    </w:rPr>
  </w:style>
  <w:style w:styleId="style42" w:type="character">
    <w:name w:val="ListLabel 1"/>
    <w:next w:val="style42"/>
    <w:rPr>
      <w:rFonts w:cs="Times New Roman" w:eastAsia="Times New Roman"/>
    </w:rPr>
  </w:style>
  <w:style w:styleId="style43" w:type="character">
    <w:name w:val="ListLabel 2"/>
    <w:next w:val="style43"/>
    <w:rPr>
      <w:rFonts w:cs="Symbol"/>
    </w:rPr>
  </w:style>
  <w:style w:styleId="style44" w:type="character">
    <w:name w:val="ListLabel 3"/>
    <w:next w:val="style44"/>
    <w:rPr>
      <w:rFonts w:cs="Wingdings"/>
    </w:rPr>
  </w:style>
  <w:style w:styleId="style45" w:type="character">
    <w:name w:val="ListLabel 4"/>
    <w:next w:val="style45"/>
    <w:rPr>
      <w:rFonts w:cs="Courier New"/>
    </w:rPr>
  </w:style>
  <w:style w:styleId="style46" w:type="paragraph">
    <w:name w:val="Intestazione"/>
    <w:basedOn w:val="style0"/>
    <w:next w:val="style47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47" w:type="paragraph">
    <w:name w:val="Corpo testo"/>
    <w:basedOn w:val="style0"/>
    <w:next w:val="style47"/>
    <w:pPr>
      <w:spacing w:after="120" w:before="0"/>
    </w:pPr>
    <w:rPr/>
  </w:style>
  <w:style w:styleId="style48" w:type="paragraph">
    <w:name w:val="Elenco"/>
    <w:basedOn w:val="style47"/>
    <w:next w:val="style48"/>
    <w:pPr/>
    <w:rPr>
      <w:rFonts w:cs="Mangal"/>
    </w:rPr>
  </w:style>
  <w:style w:styleId="style49" w:type="paragraph">
    <w:name w:val="Didascalia"/>
    <w:basedOn w:val="style0"/>
    <w:next w:val="style4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50" w:type="paragraph">
    <w:name w:val="Indice"/>
    <w:basedOn w:val="style0"/>
    <w:next w:val="style50"/>
    <w:pPr>
      <w:suppressLineNumbers/>
    </w:pPr>
    <w:rPr>
      <w:rFonts w:cs="Mangal"/>
    </w:rPr>
  </w:style>
  <w:style w:styleId="style51" w:type="paragraph">
    <w:name w:val="Intestazione1"/>
    <w:basedOn w:val="style0"/>
    <w:next w:val="style5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52" w:type="paragraph">
    <w:name w:val="Didascalia1"/>
    <w:basedOn w:val="style0"/>
    <w:next w:val="style52"/>
    <w:pPr>
      <w:suppressLineNumbers/>
      <w:spacing w:after="120" w:before="120"/>
    </w:pPr>
    <w:rPr>
      <w:rFonts w:cs="Mangal"/>
      <w:i/>
      <w:iCs/>
    </w:rPr>
  </w:style>
  <w:style w:styleId="style53" w:type="paragraph">
    <w:name w:val="Balloon Text"/>
    <w:basedOn w:val="style0"/>
    <w:next w:val="style53"/>
    <w:pPr/>
    <w:rPr>
      <w:rFonts w:ascii="Tahoma" w:cs="Tahoma" w:hAnsi="Tahoma"/>
      <w:sz w:val="16"/>
      <w:szCs w:val="16"/>
    </w:rPr>
  </w:style>
  <w:style w:styleId="style54" w:type="paragraph">
    <w:name w:val="List Paragraph"/>
    <w:basedOn w:val="style0"/>
    <w:next w:val="style54"/>
    <w:pPr>
      <w:ind w:hanging="0" w:left="708" w:right="0"/>
    </w:pPr>
    <w:rPr/>
  </w:style>
  <w:style w:styleId="style55" w:type="paragraph">
    <w:name w:val="Contenuto tabella"/>
    <w:basedOn w:val="style0"/>
    <w:next w:val="style55"/>
    <w:pPr>
      <w:suppressLineNumbers/>
    </w:pPr>
    <w:rPr/>
  </w:style>
  <w:style w:styleId="style56" w:type="paragraph">
    <w:name w:val="Intestazione tabella"/>
    <w:basedOn w:val="style55"/>
    <w:next w:val="style56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lombardoradicect.it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2015-10-30T10:39:00.00Z</dcterms:created>
  <dc:creator>Docente</dc:creator>
  <cp:lastModifiedBy>dsga</cp:lastModifiedBy>
  <cp:lastPrinted>2015-10-21T08:09:00.00Z</cp:lastPrinted>
  <dcterms:modified xsi:type="dcterms:W3CDTF">2015-10-30T10:39:00.00Z</dcterms:modified>
  <cp:revision>2</cp:revision>
</cp:coreProperties>
</file>